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1A80D" w14:textId="77777777" w:rsidR="006F5E2C" w:rsidRDefault="006F5E2C">
      <w:pPr>
        <w:pStyle w:val="a3"/>
        <w:rPr>
          <w:rFonts w:ascii="Times New Roman"/>
          <w:sz w:val="20"/>
          <w:lang w:eastAsia="ja-JP"/>
        </w:rPr>
      </w:pPr>
    </w:p>
    <w:p w14:paraId="796A6EB8" w14:textId="77777777" w:rsidR="00F62347" w:rsidRDefault="00F62347">
      <w:pPr>
        <w:pStyle w:val="a3"/>
        <w:rPr>
          <w:rFonts w:ascii="Times New Roman"/>
          <w:sz w:val="20"/>
          <w:lang w:eastAsia="ja-JP"/>
        </w:rPr>
      </w:pPr>
    </w:p>
    <w:p w14:paraId="0326805C" w14:textId="77777777" w:rsidR="00F62347" w:rsidRDefault="00F62347">
      <w:pPr>
        <w:pStyle w:val="a3"/>
        <w:rPr>
          <w:rFonts w:ascii="Times New Roman"/>
          <w:sz w:val="20"/>
          <w:lang w:eastAsia="ja-JP"/>
        </w:rPr>
      </w:pPr>
    </w:p>
    <w:p w14:paraId="7716F21B" w14:textId="77777777" w:rsidR="00F62347" w:rsidRDefault="00F62347">
      <w:pPr>
        <w:pStyle w:val="a3"/>
        <w:rPr>
          <w:rFonts w:ascii="Times New Roman"/>
          <w:sz w:val="20"/>
          <w:lang w:eastAsia="ja-JP"/>
        </w:rPr>
      </w:pPr>
    </w:p>
    <w:p w14:paraId="4652E7DA" w14:textId="77777777" w:rsidR="00F62347" w:rsidRDefault="00F62347">
      <w:pPr>
        <w:pStyle w:val="a3"/>
        <w:rPr>
          <w:rFonts w:ascii="Times New Roman"/>
          <w:sz w:val="20"/>
          <w:lang w:eastAsia="ja-JP"/>
        </w:rPr>
      </w:pPr>
    </w:p>
    <w:p w14:paraId="75957247" w14:textId="77777777" w:rsidR="00F62347" w:rsidRDefault="00F62347">
      <w:pPr>
        <w:pStyle w:val="a3"/>
        <w:rPr>
          <w:rFonts w:ascii="Times New Roman"/>
          <w:sz w:val="20"/>
          <w:lang w:eastAsia="ja-JP"/>
        </w:rPr>
      </w:pPr>
    </w:p>
    <w:p w14:paraId="014E1711" w14:textId="77777777" w:rsidR="00F62347" w:rsidRDefault="00F62347">
      <w:pPr>
        <w:pStyle w:val="a3"/>
        <w:rPr>
          <w:rFonts w:ascii="Times New Roman"/>
          <w:sz w:val="20"/>
          <w:lang w:eastAsia="ja-JP"/>
        </w:rPr>
      </w:pPr>
    </w:p>
    <w:p w14:paraId="2BD791A9" w14:textId="77777777" w:rsidR="00F62347" w:rsidRDefault="00F62347">
      <w:pPr>
        <w:pStyle w:val="a3"/>
        <w:rPr>
          <w:rFonts w:ascii="Times New Roman"/>
          <w:sz w:val="20"/>
          <w:lang w:eastAsia="ja-JP"/>
        </w:rPr>
      </w:pPr>
    </w:p>
    <w:p w14:paraId="4868C4C0" w14:textId="77777777" w:rsidR="006F5E2C" w:rsidRDefault="006F5E2C">
      <w:pPr>
        <w:pStyle w:val="a3"/>
        <w:rPr>
          <w:rFonts w:ascii="Times New Roman"/>
          <w:sz w:val="16"/>
        </w:rPr>
      </w:pPr>
    </w:p>
    <w:p w14:paraId="7650E545" w14:textId="77777777" w:rsidR="006F5E2C" w:rsidRDefault="00955FA4">
      <w:pPr>
        <w:pStyle w:val="a3"/>
        <w:ind w:left="920" w:right="933"/>
        <w:jc w:val="center"/>
        <w:rPr>
          <w:lang w:eastAsia="ja-JP"/>
        </w:rPr>
      </w:pPr>
      <w:r>
        <w:rPr>
          <w:lang w:eastAsia="ja-JP"/>
        </w:rPr>
        <w:t>慶應義塾大学 SFC 研究所</w:t>
      </w:r>
    </w:p>
    <w:p w14:paraId="18787B02" w14:textId="5C489F79" w:rsidR="006F5E2C" w:rsidRDefault="00955FA4">
      <w:pPr>
        <w:pStyle w:val="a3"/>
        <w:spacing w:before="125"/>
        <w:ind w:left="920" w:right="935"/>
        <w:jc w:val="center"/>
        <w:rPr>
          <w:lang w:eastAsia="ja-JP"/>
        </w:rPr>
      </w:pPr>
      <w:bookmarkStart w:id="0" w:name="『地域IoTと情報力研究コンソーシアム研究コンソーシアム』運営規程"/>
      <w:bookmarkEnd w:id="0"/>
      <w:r>
        <w:rPr>
          <w:lang w:eastAsia="ja-JP"/>
        </w:rPr>
        <w:t>『地域 IoT と情報力研究コンソーシアム』運営規程</w:t>
      </w:r>
    </w:p>
    <w:p w14:paraId="2E130A20" w14:textId="77777777" w:rsidR="006F5E2C" w:rsidRDefault="006F5E2C">
      <w:pPr>
        <w:pStyle w:val="a3"/>
        <w:rPr>
          <w:sz w:val="20"/>
          <w:lang w:eastAsia="ja-JP"/>
        </w:rPr>
      </w:pPr>
    </w:p>
    <w:p w14:paraId="2B78352F" w14:textId="0B161AD4" w:rsidR="00F62347" w:rsidRDefault="00F62347">
      <w:pPr>
        <w:rPr>
          <w:sz w:val="20"/>
          <w:szCs w:val="21"/>
          <w:lang w:eastAsia="ja-JP"/>
        </w:rPr>
      </w:pPr>
      <w:r>
        <w:rPr>
          <w:sz w:val="20"/>
          <w:lang w:eastAsia="ja-JP"/>
        </w:rPr>
        <w:br w:type="page"/>
      </w:r>
    </w:p>
    <w:p w14:paraId="1CFDEB80" w14:textId="52995950" w:rsidR="00F62347" w:rsidRDefault="003E5111" w:rsidP="00F62347">
      <w:pPr>
        <w:pStyle w:val="a3"/>
        <w:rPr>
          <w:sz w:val="20"/>
          <w:lang w:eastAsia="ja-JP"/>
        </w:rPr>
      </w:pPr>
      <w:r>
        <w:rPr>
          <w:rFonts w:hint="eastAsia"/>
          <w:sz w:val="20"/>
          <w:lang w:eastAsia="ja-JP"/>
        </w:rPr>
        <w:lastRenderedPageBreak/>
        <w:t>変更履歴</w:t>
      </w:r>
    </w:p>
    <w:tbl>
      <w:tblPr>
        <w:tblStyle w:val="af1"/>
        <w:tblpPr w:leftFromText="142" w:rightFromText="142" w:vertAnchor="page" w:horzAnchor="page" w:tblpX="1920" w:tblpY="1985"/>
        <w:tblW w:w="0" w:type="auto"/>
        <w:tblLook w:val="04A0" w:firstRow="1" w:lastRow="0" w:firstColumn="1" w:lastColumn="0" w:noHBand="0" w:noVBand="1"/>
      </w:tblPr>
      <w:tblGrid>
        <w:gridCol w:w="1668"/>
        <w:gridCol w:w="760"/>
        <w:gridCol w:w="6043"/>
      </w:tblGrid>
      <w:tr w:rsidR="003E5111" w14:paraId="40B12805" w14:textId="77777777" w:rsidTr="003E5111">
        <w:tc>
          <w:tcPr>
            <w:tcW w:w="1668" w:type="dxa"/>
          </w:tcPr>
          <w:p w14:paraId="5EAF7C0F" w14:textId="77777777" w:rsidR="003E5111" w:rsidRDefault="003E5111" w:rsidP="003E5111">
            <w:pPr>
              <w:pStyle w:val="a3"/>
              <w:jc w:val="center"/>
              <w:rPr>
                <w:sz w:val="20"/>
                <w:lang w:eastAsia="ja-JP"/>
              </w:rPr>
            </w:pPr>
            <w:r>
              <w:rPr>
                <w:rFonts w:hint="eastAsia"/>
                <w:sz w:val="20"/>
                <w:lang w:eastAsia="ja-JP"/>
              </w:rPr>
              <w:t>日付</w:t>
            </w:r>
          </w:p>
        </w:tc>
        <w:tc>
          <w:tcPr>
            <w:tcW w:w="760" w:type="dxa"/>
          </w:tcPr>
          <w:p w14:paraId="0D372285" w14:textId="77777777" w:rsidR="003E5111" w:rsidRDefault="003E5111" w:rsidP="003E5111">
            <w:pPr>
              <w:pStyle w:val="a3"/>
              <w:jc w:val="center"/>
              <w:rPr>
                <w:sz w:val="20"/>
                <w:lang w:eastAsia="ja-JP"/>
              </w:rPr>
            </w:pPr>
            <w:r>
              <w:rPr>
                <w:rFonts w:hint="eastAsia"/>
                <w:sz w:val="20"/>
                <w:lang w:eastAsia="ja-JP"/>
              </w:rPr>
              <w:t>版</w:t>
            </w:r>
          </w:p>
        </w:tc>
        <w:tc>
          <w:tcPr>
            <w:tcW w:w="6043" w:type="dxa"/>
          </w:tcPr>
          <w:p w14:paraId="1733FE58" w14:textId="77777777" w:rsidR="003E5111" w:rsidRDefault="003E5111" w:rsidP="003E5111">
            <w:pPr>
              <w:pStyle w:val="a3"/>
              <w:jc w:val="center"/>
              <w:rPr>
                <w:sz w:val="20"/>
                <w:lang w:eastAsia="ja-JP"/>
              </w:rPr>
            </w:pPr>
            <w:r>
              <w:rPr>
                <w:rFonts w:hint="eastAsia"/>
                <w:sz w:val="20"/>
                <w:lang w:eastAsia="ja-JP"/>
              </w:rPr>
              <w:t>変更内容</w:t>
            </w:r>
          </w:p>
        </w:tc>
      </w:tr>
      <w:tr w:rsidR="003E5111" w14:paraId="51F406C2" w14:textId="77777777" w:rsidTr="003E5111">
        <w:tc>
          <w:tcPr>
            <w:tcW w:w="1668" w:type="dxa"/>
          </w:tcPr>
          <w:p w14:paraId="67592E8B" w14:textId="77777777" w:rsidR="003E5111" w:rsidRDefault="003E5111" w:rsidP="003E5111">
            <w:pPr>
              <w:pStyle w:val="a3"/>
              <w:rPr>
                <w:sz w:val="20"/>
                <w:lang w:eastAsia="ja-JP"/>
              </w:rPr>
            </w:pPr>
            <w:r>
              <w:rPr>
                <w:rFonts w:hint="eastAsia"/>
                <w:sz w:val="20"/>
                <w:lang w:eastAsia="ja-JP"/>
              </w:rPr>
              <w:t>2017年6月20日</w:t>
            </w:r>
          </w:p>
        </w:tc>
        <w:tc>
          <w:tcPr>
            <w:tcW w:w="760" w:type="dxa"/>
          </w:tcPr>
          <w:p w14:paraId="635B6575" w14:textId="77777777" w:rsidR="003E5111" w:rsidRDefault="003E5111" w:rsidP="003E5111">
            <w:pPr>
              <w:pStyle w:val="a3"/>
              <w:rPr>
                <w:sz w:val="20"/>
                <w:lang w:eastAsia="ja-JP"/>
              </w:rPr>
            </w:pPr>
            <w:r>
              <w:rPr>
                <w:rFonts w:hint="eastAsia"/>
                <w:sz w:val="20"/>
                <w:lang w:eastAsia="ja-JP"/>
              </w:rPr>
              <w:t>初版</w:t>
            </w:r>
          </w:p>
        </w:tc>
        <w:tc>
          <w:tcPr>
            <w:tcW w:w="6043" w:type="dxa"/>
          </w:tcPr>
          <w:p w14:paraId="445026F9" w14:textId="77777777" w:rsidR="003E5111" w:rsidRDefault="003E5111" w:rsidP="003E5111">
            <w:pPr>
              <w:pStyle w:val="a3"/>
              <w:rPr>
                <w:sz w:val="20"/>
                <w:lang w:eastAsia="ja-JP"/>
              </w:rPr>
            </w:pPr>
          </w:p>
        </w:tc>
      </w:tr>
      <w:tr w:rsidR="003E5111" w14:paraId="0B511450" w14:textId="77777777" w:rsidTr="003E5111">
        <w:tc>
          <w:tcPr>
            <w:tcW w:w="1668" w:type="dxa"/>
          </w:tcPr>
          <w:p w14:paraId="19B41453" w14:textId="77777777" w:rsidR="003E5111" w:rsidRDefault="003E5111" w:rsidP="003E5111">
            <w:pPr>
              <w:pStyle w:val="a3"/>
              <w:rPr>
                <w:sz w:val="20"/>
                <w:lang w:eastAsia="ja-JP"/>
              </w:rPr>
            </w:pPr>
            <w:r>
              <w:rPr>
                <w:rFonts w:hint="eastAsia"/>
                <w:sz w:val="20"/>
                <w:lang w:eastAsia="ja-JP"/>
              </w:rPr>
              <w:t>2018年3月20日</w:t>
            </w:r>
          </w:p>
        </w:tc>
        <w:tc>
          <w:tcPr>
            <w:tcW w:w="760" w:type="dxa"/>
          </w:tcPr>
          <w:p w14:paraId="2C7C7172" w14:textId="77777777" w:rsidR="003E5111" w:rsidRDefault="003E5111" w:rsidP="003E5111">
            <w:pPr>
              <w:pStyle w:val="a3"/>
              <w:rPr>
                <w:sz w:val="20"/>
                <w:lang w:eastAsia="ja-JP"/>
              </w:rPr>
            </w:pPr>
            <w:r>
              <w:rPr>
                <w:rFonts w:hint="eastAsia"/>
                <w:sz w:val="20"/>
                <w:lang w:eastAsia="ja-JP"/>
              </w:rPr>
              <w:t>第2版</w:t>
            </w:r>
          </w:p>
        </w:tc>
        <w:tc>
          <w:tcPr>
            <w:tcW w:w="6043" w:type="dxa"/>
          </w:tcPr>
          <w:p w14:paraId="3D18EC38" w14:textId="77777777" w:rsidR="003E5111" w:rsidRDefault="003E5111" w:rsidP="003E5111">
            <w:pPr>
              <w:pStyle w:val="a3"/>
              <w:rPr>
                <w:sz w:val="20"/>
                <w:lang w:eastAsia="ja-JP"/>
              </w:rPr>
            </w:pPr>
            <w:r>
              <w:rPr>
                <w:rFonts w:hint="eastAsia"/>
                <w:sz w:val="20"/>
                <w:lang w:eastAsia="ja-JP"/>
              </w:rPr>
              <w:t>幹事会、総会の関係整理、退会後の秘密保持義務等</w:t>
            </w:r>
          </w:p>
          <w:p w14:paraId="002AF6F7" w14:textId="77777777" w:rsidR="003E5111" w:rsidRDefault="003E5111" w:rsidP="003E5111">
            <w:pPr>
              <w:pStyle w:val="a3"/>
              <w:rPr>
                <w:sz w:val="20"/>
                <w:lang w:eastAsia="ja-JP"/>
              </w:rPr>
            </w:pPr>
            <w:r>
              <w:rPr>
                <w:rFonts w:hint="eastAsia"/>
                <w:sz w:val="20"/>
                <w:lang w:eastAsia="ja-JP"/>
              </w:rPr>
              <w:t>1、2、4、5、7、8、9、10、11条を修正。初版12条を削除</w:t>
            </w:r>
          </w:p>
        </w:tc>
      </w:tr>
      <w:tr w:rsidR="003E5111" w14:paraId="0DAA635D" w14:textId="77777777" w:rsidTr="003E5111">
        <w:tc>
          <w:tcPr>
            <w:tcW w:w="1668" w:type="dxa"/>
          </w:tcPr>
          <w:p w14:paraId="4084E57B" w14:textId="7E19FA06" w:rsidR="003E5111" w:rsidRDefault="00D039C7" w:rsidP="003E5111">
            <w:pPr>
              <w:pStyle w:val="a3"/>
              <w:rPr>
                <w:sz w:val="20"/>
                <w:lang w:eastAsia="ja-JP"/>
              </w:rPr>
            </w:pPr>
            <w:r>
              <w:rPr>
                <w:rFonts w:hint="eastAsia"/>
                <w:sz w:val="20"/>
                <w:lang w:eastAsia="ja-JP"/>
              </w:rPr>
              <w:t>2020年3月10日</w:t>
            </w:r>
          </w:p>
        </w:tc>
        <w:tc>
          <w:tcPr>
            <w:tcW w:w="760" w:type="dxa"/>
          </w:tcPr>
          <w:p w14:paraId="45646C2D" w14:textId="7E619961" w:rsidR="003E5111" w:rsidRDefault="00D039C7" w:rsidP="003E5111">
            <w:pPr>
              <w:pStyle w:val="a3"/>
              <w:rPr>
                <w:sz w:val="20"/>
                <w:lang w:eastAsia="ja-JP"/>
              </w:rPr>
            </w:pPr>
            <w:r>
              <w:rPr>
                <w:rFonts w:hint="eastAsia"/>
                <w:sz w:val="20"/>
                <w:lang w:eastAsia="ja-JP"/>
              </w:rPr>
              <w:t>第3版</w:t>
            </w:r>
          </w:p>
        </w:tc>
        <w:tc>
          <w:tcPr>
            <w:tcW w:w="6043" w:type="dxa"/>
          </w:tcPr>
          <w:p w14:paraId="3896D65C" w14:textId="068D55A3" w:rsidR="003E5111" w:rsidRDefault="00D039C7" w:rsidP="003E5111">
            <w:pPr>
              <w:pStyle w:val="a3"/>
              <w:rPr>
                <w:sz w:val="20"/>
                <w:lang w:eastAsia="ja-JP"/>
              </w:rPr>
            </w:pPr>
            <w:r>
              <w:rPr>
                <w:rFonts w:hint="eastAsia"/>
                <w:sz w:val="20"/>
                <w:lang w:eastAsia="ja-JP"/>
              </w:rPr>
              <w:t>第5条3項追加</w:t>
            </w:r>
          </w:p>
        </w:tc>
      </w:tr>
      <w:tr w:rsidR="003E5111" w14:paraId="210739BB" w14:textId="77777777" w:rsidTr="003E5111">
        <w:tc>
          <w:tcPr>
            <w:tcW w:w="1668" w:type="dxa"/>
          </w:tcPr>
          <w:p w14:paraId="5CB29564" w14:textId="77777777" w:rsidR="003E5111" w:rsidRDefault="003E5111" w:rsidP="003E5111">
            <w:pPr>
              <w:pStyle w:val="a3"/>
              <w:rPr>
                <w:sz w:val="20"/>
                <w:lang w:eastAsia="ja-JP"/>
              </w:rPr>
            </w:pPr>
          </w:p>
        </w:tc>
        <w:tc>
          <w:tcPr>
            <w:tcW w:w="760" w:type="dxa"/>
          </w:tcPr>
          <w:p w14:paraId="4A19F66B" w14:textId="77777777" w:rsidR="003E5111" w:rsidRDefault="003E5111" w:rsidP="003E5111">
            <w:pPr>
              <w:pStyle w:val="a3"/>
              <w:rPr>
                <w:sz w:val="20"/>
                <w:lang w:eastAsia="ja-JP"/>
              </w:rPr>
            </w:pPr>
          </w:p>
        </w:tc>
        <w:tc>
          <w:tcPr>
            <w:tcW w:w="6043" w:type="dxa"/>
          </w:tcPr>
          <w:p w14:paraId="610F3F96" w14:textId="77777777" w:rsidR="003E5111" w:rsidRDefault="003E5111" w:rsidP="003E5111">
            <w:pPr>
              <w:pStyle w:val="a3"/>
              <w:rPr>
                <w:sz w:val="20"/>
                <w:lang w:eastAsia="ja-JP"/>
              </w:rPr>
            </w:pPr>
          </w:p>
        </w:tc>
      </w:tr>
      <w:tr w:rsidR="003E5111" w14:paraId="5FB699E6" w14:textId="77777777" w:rsidTr="003E5111">
        <w:tc>
          <w:tcPr>
            <w:tcW w:w="1668" w:type="dxa"/>
          </w:tcPr>
          <w:p w14:paraId="2D3E856A" w14:textId="77777777" w:rsidR="003E5111" w:rsidRDefault="003E5111" w:rsidP="003E5111">
            <w:pPr>
              <w:pStyle w:val="a3"/>
              <w:rPr>
                <w:sz w:val="20"/>
                <w:lang w:eastAsia="ja-JP"/>
              </w:rPr>
            </w:pPr>
          </w:p>
        </w:tc>
        <w:tc>
          <w:tcPr>
            <w:tcW w:w="760" w:type="dxa"/>
          </w:tcPr>
          <w:p w14:paraId="5290FC1D" w14:textId="77777777" w:rsidR="003E5111" w:rsidRDefault="003E5111" w:rsidP="003E5111">
            <w:pPr>
              <w:pStyle w:val="a3"/>
              <w:rPr>
                <w:sz w:val="20"/>
                <w:lang w:eastAsia="ja-JP"/>
              </w:rPr>
            </w:pPr>
          </w:p>
        </w:tc>
        <w:tc>
          <w:tcPr>
            <w:tcW w:w="6043" w:type="dxa"/>
          </w:tcPr>
          <w:p w14:paraId="1F24BEC0" w14:textId="77777777" w:rsidR="003E5111" w:rsidRDefault="003E5111" w:rsidP="003E5111">
            <w:pPr>
              <w:pStyle w:val="a3"/>
              <w:rPr>
                <w:sz w:val="20"/>
                <w:lang w:eastAsia="ja-JP"/>
              </w:rPr>
            </w:pPr>
          </w:p>
        </w:tc>
      </w:tr>
      <w:tr w:rsidR="003E5111" w14:paraId="5D70E248" w14:textId="77777777" w:rsidTr="003E5111">
        <w:tc>
          <w:tcPr>
            <w:tcW w:w="1668" w:type="dxa"/>
          </w:tcPr>
          <w:p w14:paraId="7B3AF7B3" w14:textId="77777777" w:rsidR="003E5111" w:rsidRDefault="003E5111" w:rsidP="003E5111">
            <w:pPr>
              <w:pStyle w:val="a3"/>
              <w:rPr>
                <w:sz w:val="20"/>
                <w:lang w:eastAsia="ja-JP"/>
              </w:rPr>
            </w:pPr>
          </w:p>
        </w:tc>
        <w:tc>
          <w:tcPr>
            <w:tcW w:w="760" w:type="dxa"/>
          </w:tcPr>
          <w:p w14:paraId="203D847E" w14:textId="77777777" w:rsidR="003E5111" w:rsidRDefault="003E5111" w:rsidP="003E5111">
            <w:pPr>
              <w:pStyle w:val="a3"/>
              <w:rPr>
                <w:sz w:val="20"/>
                <w:lang w:eastAsia="ja-JP"/>
              </w:rPr>
            </w:pPr>
          </w:p>
        </w:tc>
        <w:tc>
          <w:tcPr>
            <w:tcW w:w="6043" w:type="dxa"/>
          </w:tcPr>
          <w:p w14:paraId="73108FFD" w14:textId="77777777" w:rsidR="003E5111" w:rsidRDefault="003E5111" w:rsidP="003E5111">
            <w:pPr>
              <w:pStyle w:val="a3"/>
              <w:rPr>
                <w:sz w:val="20"/>
                <w:lang w:eastAsia="ja-JP"/>
              </w:rPr>
            </w:pPr>
          </w:p>
        </w:tc>
      </w:tr>
      <w:tr w:rsidR="003E5111" w14:paraId="05E98AD7" w14:textId="77777777" w:rsidTr="003E5111">
        <w:tc>
          <w:tcPr>
            <w:tcW w:w="1668" w:type="dxa"/>
          </w:tcPr>
          <w:p w14:paraId="4EA5CA48" w14:textId="77777777" w:rsidR="003E5111" w:rsidRDefault="003E5111" w:rsidP="003E5111">
            <w:pPr>
              <w:pStyle w:val="a3"/>
              <w:rPr>
                <w:sz w:val="20"/>
                <w:lang w:eastAsia="ja-JP"/>
              </w:rPr>
            </w:pPr>
          </w:p>
        </w:tc>
        <w:tc>
          <w:tcPr>
            <w:tcW w:w="760" w:type="dxa"/>
          </w:tcPr>
          <w:p w14:paraId="494E1C19" w14:textId="77777777" w:rsidR="003E5111" w:rsidRDefault="003E5111" w:rsidP="003E5111">
            <w:pPr>
              <w:pStyle w:val="a3"/>
              <w:rPr>
                <w:sz w:val="20"/>
                <w:lang w:eastAsia="ja-JP"/>
              </w:rPr>
            </w:pPr>
          </w:p>
        </w:tc>
        <w:tc>
          <w:tcPr>
            <w:tcW w:w="6043" w:type="dxa"/>
          </w:tcPr>
          <w:p w14:paraId="5498D328" w14:textId="77777777" w:rsidR="003E5111" w:rsidRDefault="003E5111" w:rsidP="003E5111">
            <w:pPr>
              <w:pStyle w:val="a3"/>
              <w:rPr>
                <w:sz w:val="20"/>
                <w:lang w:eastAsia="ja-JP"/>
              </w:rPr>
            </w:pPr>
          </w:p>
        </w:tc>
      </w:tr>
    </w:tbl>
    <w:p w14:paraId="3A657D18" w14:textId="627CDFD4" w:rsidR="00F62347" w:rsidRDefault="00F62347">
      <w:pPr>
        <w:rPr>
          <w:sz w:val="20"/>
          <w:szCs w:val="21"/>
          <w:lang w:eastAsia="ja-JP"/>
        </w:rPr>
      </w:pPr>
      <w:r>
        <w:rPr>
          <w:sz w:val="20"/>
          <w:lang w:eastAsia="ja-JP"/>
        </w:rPr>
        <w:br w:type="page"/>
      </w:r>
    </w:p>
    <w:p w14:paraId="4DB396FC" w14:textId="725DD8EE" w:rsidR="006F5E2C" w:rsidRDefault="00955FA4">
      <w:pPr>
        <w:pStyle w:val="a3"/>
        <w:spacing w:before="139"/>
        <w:ind w:left="101"/>
        <w:jc w:val="both"/>
        <w:rPr>
          <w:lang w:eastAsia="ja-JP"/>
        </w:rPr>
      </w:pPr>
      <w:r>
        <w:rPr>
          <w:lang w:eastAsia="ja-JP"/>
        </w:rPr>
        <w:lastRenderedPageBreak/>
        <w:t>第 1 条（名称</w:t>
      </w:r>
      <w:r w:rsidR="00280022">
        <w:rPr>
          <w:rFonts w:hint="eastAsia"/>
          <w:lang w:eastAsia="ja-JP"/>
        </w:rPr>
        <w:t>と代表</w:t>
      </w:r>
      <w:r>
        <w:rPr>
          <w:lang w:eastAsia="ja-JP"/>
        </w:rPr>
        <w:t>）</w:t>
      </w:r>
    </w:p>
    <w:p w14:paraId="3E4E06A4" w14:textId="77777777" w:rsidR="0055507C" w:rsidRDefault="00955FA4">
      <w:pPr>
        <w:pStyle w:val="a3"/>
        <w:spacing w:before="125"/>
        <w:ind w:left="101"/>
        <w:jc w:val="both"/>
        <w:rPr>
          <w:lang w:eastAsia="ja-JP"/>
        </w:rPr>
      </w:pPr>
      <w:r>
        <w:rPr>
          <w:lang w:eastAsia="ja-JP"/>
        </w:rPr>
        <w:t>本コンソーシアムは、地域 IoT と情報力研究コンソーシアムと称</w:t>
      </w:r>
      <w:r w:rsidR="0067208E">
        <w:rPr>
          <w:rFonts w:hint="eastAsia"/>
          <w:lang w:eastAsia="ja-JP"/>
        </w:rPr>
        <w:t>し、</w:t>
      </w:r>
      <w:r w:rsidR="0055507C">
        <w:rPr>
          <w:rFonts w:hint="eastAsia"/>
          <w:lang w:eastAsia="ja-JP"/>
        </w:rPr>
        <w:t>慶應義塾大学</w:t>
      </w:r>
      <w:r w:rsidR="0055507C">
        <w:rPr>
          <w:lang w:eastAsia="ja-JP"/>
        </w:rPr>
        <w:t>SFC</w:t>
      </w:r>
      <w:r w:rsidR="0055507C">
        <w:rPr>
          <w:rFonts w:hint="eastAsia"/>
          <w:lang w:eastAsia="ja-JP"/>
        </w:rPr>
        <w:t>研究所がこれを設置する。</w:t>
      </w:r>
    </w:p>
    <w:p w14:paraId="058E69CE" w14:textId="58B95A81" w:rsidR="0055507C" w:rsidRPr="00FC3280" w:rsidRDefault="0055507C">
      <w:pPr>
        <w:pStyle w:val="a3"/>
        <w:spacing w:before="125"/>
        <w:ind w:left="101"/>
        <w:jc w:val="both"/>
        <w:rPr>
          <w:sz w:val="20"/>
          <w:szCs w:val="20"/>
          <w:lang w:eastAsia="ja-JP"/>
        </w:rPr>
      </w:pPr>
    </w:p>
    <w:p w14:paraId="7DB42772" w14:textId="24171F4A" w:rsidR="006F5E2C" w:rsidRDefault="0055507C">
      <w:pPr>
        <w:pStyle w:val="a3"/>
        <w:spacing w:before="125"/>
        <w:ind w:left="101"/>
        <w:jc w:val="both"/>
        <w:rPr>
          <w:lang w:eastAsia="ja-JP"/>
        </w:rPr>
      </w:pPr>
      <w:r>
        <w:rPr>
          <w:rFonts w:hint="eastAsia"/>
          <w:lang w:eastAsia="ja-JP"/>
        </w:rPr>
        <w:t xml:space="preserve">２　</w:t>
      </w:r>
      <w:r w:rsidR="00280022">
        <w:rPr>
          <w:rFonts w:hint="eastAsia"/>
          <w:lang w:eastAsia="ja-JP"/>
        </w:rPr>
        <w:t>本コンソーシアムの代表（以下「代表」という）は、慶應義塾大学</w:t>
      </w:r>
      <w:r w:rsidR="00280022">
        <w:rPr>
          <w:lang w:eastAsia="ja-JP"/>
        </w:rPr>
        <w:t>SFC</w:t>
      </w:r>
      <w:r w:rsidR="00280022">
        <w:rPr>
          <w:rFonts w:hint="eastAsia"/>
          <w:lang w:eastAsia="ja-JP"/>
        </w:rPr>
        <w:t>研究所が承認した</w:t>
      </w:r>
      <w:r w:rsidR="00811B94">
        <w:rPr>
          <w:rFonts w:hint="eastAsia"/>
          <w:lang w:eastAsia="ja-JP"/>
        </w:rPr>
        <w:t>同研究所の</w:t>
      </w:r>
      <w:r w:rsidR="00811B94" w:rsidRPr="00811B94">
        <w:rPr>
          <w:rFonts w:hint="eastAsia"/>
          <w:lang w:eastAsia="ja-JP"/>
        </w:rPr>
        <w:t>上席所員（常勤）</w:t>
      </w:r>
      <w:r w:rsidR="00280022">
        <w:rPr>
          <w:rFonts w:hint="eastAsia"/>
          <w:lang w:eastAsia="ja-JP"/>
        </w:rPr>
        <w:t>とする。</w:t>
      </w:r>
    </w:p>
    <w:p w14:paraId="035A41D2" w14:textId="77777777" w:rsidR="006F5E2C" w:rsidRDefault="006F5E2C">
      <w:pPr>
        <w:pStyle w:val="a3"/>
        <w:rPr>
          <w:sz w:val="20"/>
          <w:lang w:eastAsia="ja-JP"/>
        </w:rPr>
      </w:pPr>
    </w:p>
    <w:p w14:paraId="49B16D0D" w14:textId="77777777" w:rsidR="006F5E2C" w:rsidRDefault="00955FA4">
      <w:pPr>
        <w:pStyle w:val="a3"/>
        <w:ind w:left="101"/>
        <w:jc w:val="both"/>
        <w:rPr>
          <w:lang w:eastAsia="ja-JP"/>
        </w:rPr>
      </w:pPr>
      <w:r>
        <w:rPr>
          <w:lang w:eastAsia="ja-JP"/>
        </w:rPr>
        <w:t>第 2 条（目的）</w:t>
      </w:r>
    </w:p>
    <w:p w14:paraId="7C34F0DA" w14:textId="7DB7C754" w:rsidR="008F57EB" w:rsidRDefault="00955FA4">
      <w:pPr>
        <w:pStyle w:val="a3"/>
        <w:spacing w:before="125" w:line="350" w:lineRule="auto"/>
        <w:ind w:left="102" w:right="111" w:hanging="1"/>
        <w:jc w:val="both"/>
        <w:rPr>
          <w:spacing w:val="-10"/>
          <w:lang w:eastAsia="ja-JP"/>
        </w:rPr>
      </w:pPr>
      <w:r>
        <w:rPr>
          <w:spacing w:val="-10"/>
          <w:lang w:eastAsia="ja-JP"/>
        </w:rPr>
        <w:t>本コンソーシアム</w:t>
      </w:r>
      <w:r w:rsidR="00F73E25">
        <w:rPr>
          <w:rFonts w:hint="eastAsia"/>
          <w:spacing w:val="-10"/>
          <w:lang w:eastAsia="ja-JP"/>
        </w:rPr>
        <w:t>で</w:t>
      </w:r>
      <w:r>
        <w:rPr>
          <w:spacing w:val="-10"/>
          <w:lang w:eastAsia="ja-JP"/>
        </w:rPr>
        <w:t>は</w:t>
      </w:r>
      <w:r w:rsidR="008F57EB">
        <w:rPr>
          <w:rFonts w:hint="eastAsia"/>
          <w:spacing w:val="-10"/>
          <w:lang w:eastAsia="ja-JP"/>
        </w:rPr>
        <w:t>以下に示す研究（以下「本研究」と</w:t>
      </w:r>
      <w:r w:rsidR="00B94362">
        <w:rPr>
          <w:rFonts w:hint="eastAsia"/>
          <w:spacing w:val="-10"/>
          <w:lang w:eastAsia="ja-JP"/>
        </w:rPr>
        <w:t>いう</w:t>
      </w:r>
      <w:r w:rsidR="008F57EB">
        <w:rPr>
          <w:rFonts w:hint="eastAsia"/>
          <w:spacing w:val="-10"/>
          <w:lang w:eastAsia="ja-JP"/>
        </w:rPr>
        <w:t>）の推進を目的とする。</w:t>
      </w:r>
    </w:p>
    <w:p w14:paraId="36B15BD2" w14:textId="1A51A9EB" w:rsidR="006F5E2C" w:rsidRDefault="00955FA4" w:rsidP="00FC3280">
      <w:pPr>
        <w:pStyle w:val="a3"/>
        <w:spacing w:before="125" w:line="350" w:lineRule="auto"/>
        <w:ind w:left="426" w:right="111" w:hanging="1"/>
        <w:jc w:val="both"/>
        <w:rPr>
          <w:lang w:eastAsia="ja-JP"/>
        </w:rPr>
      </w:pPr>
      <w:r>
        <w:rPr>
          <w:spacing w:val="-10"/>
          <w:lang w:eastAsia="ja-JP"/>
        </w:rPr>
        <w:t>街のあらゆる情報をセンシングする技術や、</w:t>
      </w:r>
      <w:r>
        <w:rPr>
          <w:spacing w:val="-9"/>
          <w:lang w:eastAsia="ja-JP"/>
        </w:rPr>
        <w:t>機械学習技術等を応用し、スマートホーム、スマートモビリティ、スマートス</w:t>
      </w:r>
      <w:r>
        <w:rPr>
          <w:spacing w:val="-11"/>
          <w:lang w:eastAsia="ja-JP"/>
        </w:rPr>
        <w:t>ペース等の多様な分野において、情報の力を活用したサービスを創出することにより、人の</w:t>
      </w:r>
      <w:r>
        <w:rPr>
          <w:spacing w:val="-6"/>
          <w:lang w:eastAsia="ja-JP"/>
        </w:rPr>
        <w:t>生活をより豊かにするスマートシティを構築する</w:t>
      </w:r>
      <w:r w:rsidR="00F73E25">
        <w:rPr>
          <w:rFonts w:hint="eastAsia"/>
          <w:spacing w:val="-6"/>
          <w:lang w:eastAsia="ja-JP"/>
        </w:rPr>
        <w:t>手法に関</w:t>
      </w:r>
      <w:r w:rsidR="008F57EB">
        <w:rPr>
          <w:rFonts w:hint="eastAsia"/>
          <w:spacing w:val="-6"/>
          <w:lang w:eastAsia="ja-JP"/>
        </w:rPr>
        <w:t>して、第4条に定める会員が共同して行う</w:t>
      </w:r>
      <w:r w:rsidR="00F73E25">
        <w:rPr>
          <w:rFonts w:hint="eastAsia"/>
          <w:spacing w:val="-6"/>
          <w:lang w:eastAsia="ja-JP"/>
        </w:rPr>
        <w:t>研究</w:t>
      </w:r>
    </w:p>
    <w:p w14:paraId="4D1C67CC" w14:textId="77777777" w:rsidR="006F5E2C" w:rsidRDefault="006F5E2C">
      <w:pPr>
        <w:pStyle w:val="a3"/>
        <w:rPr>
          <w:sz w:val="20"/>
          <w:lang w:eastAsia="ja-JP"/>
        </w:rPr>
      </w:pPr>
    </w:p>
    <w:p w14:paraId="55C6D526" w14:textId="77777777" w:rsidR="006F5E2C" w:rsidRDefault="00955FA4">
      <w:pPr>
        <w:pStyle w:val="a3"/>
        <w:spacing w:before="165"/>
        <w:ind w:left="101"/>
        <w:jc w:val="both"/>
        <w:rPr>
          <w:lang w:eastAsia="ja-JP"/>
        </w:rPr>
      </w:pPr>
      <w:r>
        <w:rPr>
          <w:lang w:eastAsia="ja-JP"/>
        </w:rPr>
        <w:t>第 3 条（活動内容）</w:t>
      </w:r>
    </w:p>
    <w:p w14:paraId="47EBFD0E" w14:textId="77777777" w:rsidR="006F5E2C" w:rsidRDefault="00955FA4">
      <w:pPr>
        <w:pStyle w:val="a3"/>
        <w:spacing w:before="125" w:line="348" w:lineRule="auto"/>
        <w:ind w:left="101" w:right="115"/>
        <w:rPr>
          <w:lang w:eastAsia="ja-JP"/>
        </w:rPr>
      </w:pPr>
      <w:r>
        <w:rPr>
          <w:lang w:eastAsia="ja-JP"/>
        </w:rPr>
        <w:t>本コンソーシアムでは、前条の目的を達成するために会員同士が連携して以下の活動を行う。</w:t>
      </w:r>
    </w:p>
    <w:p w14:paraId="4357CB4A" w14:textId="77777777" w:rsidR="006F5E2C" w:rsidRDefault="00955FA4">
      <w:pPr>
        <w:pStyle w:val="a3"/>
        <w:spacing w:before="31"/>
        <w:ind w:left="101"/>
        <w:jc w:val="both"/>
        <w:rPr>
          <w:lang w:eastAsia="ja-JP"/>
        </w:rPr>
      </w:pPr>
      <w:r>
        <w:rPr>
          <w:lang w:eastAsia="ja-JP"/>
        </w:rPr>
        <w:t>① 地域課題の明確化と共有</w:t>
      </w:r>
    </w:p>
    <w:p w14:paraId="1A1EC17C" w14:textId="77777777" w:rsidR="006F5E2C" w:rsidRDefault="00955FA4">
      <w:pPr>
        <w:pStyle w:val="a3"/>
        <w:spacing w:before="126"/>
        <w:ind w:left="101"/>
        <w:jc w:val="both"/>
        <w:rPr>
          <w:lang w:eastAsia="ja-JP"/>
        </w:rPr>
      </w:pPr>
      <w:r>
        <w:rPr>
          <w:lang w:eastAsia="ja-JP"/>
        </w:rPr>
        <w:t>② 要素技術の研究開発</w:t>
      </w:r>
    </w:p>
    <w:p w14:paraId="28F15F3B" w14:textId="77777777" w:rsidR="006F5E2C" w:rsidRDefault="00955FA4">
      <w:pPr>
        <w:pStyle w:val="a3"/>
        <w:spacing w:before="123"/>
        <w:ind w:left="102"/>
        <w:jc w:val="both"/>
        <w:rPr>
          <w:lang w:eastAsia="ja-JP"/>
        </w:rPr>
      </w:pPr>
      <w:r>
        <w:rPr>
          <w:lang w:eastAsia="ja-JP"/>
        </w:rPr>
        <w:t>③ 研究成果の利活用</w:t>
      </w:r>
    </w:p>
    <w:p w14:paraId="4EDF2237" w14:textId="77777777" w:rsidR="006F5E2C" w:rsidRDefault="00955FA4">
      <w:pPr>
        <w:pStyle w:val="a3"/>
        <w:spacing w:before="125"/>
        <w:ind w:left="102"/>
        <w:jc w:val="both"/>
        <w:rPr>
          <w:lang w:eastAsia="ja-JP"/>
        </w:rPr>
      </w:pPr>
      <w:r>
        <w:rPr>
          <w:lang w:eastAsia="ja-JP"/>
        </w:rPr>
        <w:t>④ スマートシティ化のための政策形成</w:t>
      </w:r>
    </w:p>
    <w:p w14:paraId="61307244" w14:textId="77777777" w:rsidR="006F5E2C" w:rsidRDefault="00955FA4">
      <w:pPr>
        <w:pStyle w:val="a3"/>
        <w:spacing w:before="125"/>
        <w:ind w:left="102"/>
        <w:jc w:val="both"/>
        <w:rPr>
          <w:lang w:eastAsia="ja-JP"/>
        </w:rPr>
      </w:pPr>
      <w:r>
        <w:rPr>
          <w:lang w:eastAsia="ja-JP"/>
        </w:rPr>
        <w:t>⑤ 人材育成</w:t>
      </w:r>
    </w:p>
    <w:p w14:paraId="1A9C9630" w14:textId="77777777" w:rsidR="006F5E2C" w:rsidRDefault="00955FA4">
      <w:pPr>
        <w:pStyle w:val="a3"/>
        <w:spacing w:before="123"/>
        <w:ind w:left="102"/>
        <w:jc w:val="both"/>
        <w:rPr>
          <w:lang w:eastAsia="ja-JP"/>
        </w:rPr>
      </w:pPr>
      <w:r>
        <w:rPr>
          <w:lang w:eastAsia="ja-JP"/>
        </w:rPr>
        <w:t>⑥ 地方公共団体等との共同実験、共同研究の実施</w:t>
      </w:r>
    </w:p>
    <w:p w14:paraId="043A701B" w14:textId="77777777" w:rsidR="006F5E2C" w:rsidRDefault="00955FA4">
      <w:pPr>
        <w:pStyle w:val="a3"/>
        <w:spacing w:before="126"/>
        <w:ind w:left="102"/>
        <w:jc w:val="both"/>
        <w:rPr>
          <w:lang w:eastAsia="ja-JP"/>
        </w:rPr>
      </w:pPr>
      <w:r>
        <w:rPr>
          <w:lang w:eastAsia="ja-JP"/>
        </w:rPr>
        <w:t>⑦ その他、目的に基づいた調査および研究</w:t>
      </w:r>
    </w:p>
    <w:p w14:paraId="50EB65EB" w14:textId="77777777" w:rsidR="006F5E2C" w:rsidRDefault="006F5E2C">
      <w:pPr>
        <w:pStyle w:val="a3"/>
        <w:rPr>
          <w:sz w:val="20"/>
          <w:lang w:eastAsia="ja-JP"/>
        </w:rPr>
      </w:pPr>
    </w:p>
    <w:p w14:paraId="71B1C55B" w14:textId="77777777" w:rsidR="006F5E2C" w:rsidRDefault="006F5E2C">
      <w:pPr>
        <w:pStyle w:val="a3"/>
        <w:spacing w:before="1"/>
        <w:rPr>
          <w:sz w:val="20"/>
          <w:lang w:eastAsia="ja-JP"/>
        </w:rPr>
      </w:pPr>
    </w:p>
    <w:p w14:paraId="4BED1DDB" w14:textId="77777777" w:rsidR="006F5E2C" w:rsidRDefault="00955FA4">
      <w:pPr>
        <w:pStyle w:val="a3"/>
        <w:ind w:left="102"/>
        <w:jc w:val="both"/>
        <w:rPr>
          <w:lang w:eastAsia="ja-JP"/>
        </w:rPr>
      </w:pPr>
      <w:r>
        <w:rPr>
          <w:lang w:eastAsia="ja-JP"/>
        </w:rPr>
        <w:t>第４条（会員および会費）</w:t>
      </w:r>
    </w:p>
    <w:p w14:paraId="629F46AE" w14:textId="77777777" w:rsidR="006F5E2C" w:rsidRDefault="00955FA4">
      <w:pPr>
        <w:pStyle w:val="a3"/>
        <w:spacing w:before="126"/>
        <w:ind w:left="102"/>
        <w:jc w:val="both"/>
        <w:rPr>
          <w:lang w:eastAsia="ja-JP"/>
        </w:rPr>
      </w:pPr>
      <w:r>
        <w:rPr>
          <w:lang w:eastAsia="ja-JP"/>
        </w:rPr>
        <w:t>本コンソーシアムは、幹事会員および賛助会員により構成する。</w:t>
      </w:r>
    </w:p>
    <w:p w14:paraId="13675F2D" w14:textId="202FBDF7" w:rsidR="006F5E2C" w:rsidRDefault="00955FA4">
      <w:pPr>
        <w:pStyle w:val="a3"/>
        <w:spacing w:before="126"/>
        <w:ind w:left="102"/>
        <w:jc w:val="both"/>
        <w:rPr>
          <w:lang w:eastAsia="ja-JP"/>
        </w:rPr>
      </w:pPr>
      <w:r>
        <w:rPr>
          <w:lang w:eastAsia="ja-JP"/>
        </w:rPr>
        <w:t>２  幹事会員は以下の各</w:t>
      </w:r>
      <w:r w:rsidR="001B784A">
        <w:rPr>
          <w:rFonts w:hint="eastAsia"/>
          <w:lang w:eastAsia="ja-JP"/>
        </w:rPr>
        <w:t>号</w:t>
      </w:r>
      <w:r>
        <w:rPr>
          <w:lang w:eastAsia="ja-JP"/>
        </w:rPr>
        <w:t>を満たす機関または組織等とする。</w:t>
      </w:r>
    </w:p>
    <w:p w14:paraId="7FBAEC47" w14:textId="77777777" w:rsidR="006F5E2C" w:rsidRDefault="00955FA4">
      <w:pPr>
        <w:pStyle w:val="a3"/>
        <w:tabs>
          <w:tab w:val="left" w:pos="1062"/>
        </w:tabs>
        <w:spacing w:before="123"/>
        <w:ind w:left="582"/>
        <w:rPr>
          <w:lang w:eastAsia="ja-JP"/>
        </w:rPr>
      </w:pPr>
      <w:r>
        <w:rPr>
          <w:lang w:eastAsia="ja-JP"/>
        </w:rPr>
        <w:t>①</w:t>
      </w:r>
      <w:r>
        <w:rPr>
          <w:lang w:eastAsia="ja-JP"/>
        </w:rPr>
        <w:tab/>
      </w:r>
      <w:r>
        <w:rPr>
          <w:spacing w:val="-3"/>
          <w:lang w:eastAsia="ja-JP"/>
        </w:rPr>
        <w:t>幹事会員は幹事会を構成して本コンソーシアムの運営にあたる。</w:t>
      </w:r>
    </w:p>
    <w:p w14:paraId="41076311" w14:textId="77777777" w:rsidR="006F5E2C" w:rsidRDefault="00955FA4">
      <w:pPr>
        <w:pStyle w:val="a3"/>
        <w:tabs>
          <w:tab w:val="left" w:pos="1062"/>
        </w:tabs>
        <w:spacing w:before="125"/>
        <w:ind w:left="582"/>
        <w:rPr>
          <w:lang w:eastAsia="ja-JP"/>
        </w:rPr>
      </w:pPr>
      <w:r>
        <w:rPr>
          <w:lang w:eastAsia="ja-JP"/>
        </w:rPr>
        <w:t>②</w:t>
      </w:r>
      <w:r>
        <w:rPr>
          <w:lang w:eastAsia="ja-JP"/>
        </w:rPr>
        <w:tab/>
      </w:r>
      <w:r>
        <w:rPr>
          <w:spacing w:val="-7"/>
          <w:lang w:eastAsia="ja-JP"/>
        </w:rPr>
        <w:t xml:space="preserve">幹事会員は慶應義塾大学 </w:t>
      </w:r>
      <w:r>
        <w:rPr>
          <w:lang w:eastAsia="ja-JP"/>
        </w:rPr>
        <w:t>SFC</w:t>
      </w:r>
      <w:r>
        <w:rPr>
          <w:spacing w:val="-12"/>
          <w:lang w:eastAsia="ja-JP"/>
        </w:rPr>
        <w:t xml:space="preserve"> 研究所に対し別表 </w:t>
      </w:r>
      <w:r>
        <w:rPr>
          <w:lang w:eastAsia="ja-JP"/>
        </w:rPr>
        <w:t>1</w:t>
      </w:r>
      <w:r>
        <w:rPr>
          <w:spacing w:val="-8"/>
          <w:lang w:eastAsia="ja-JP"/>
        </w:rPr>
        <w:t xml:space="preserve"> に定める年会費を払い込む。</w:t>
      </w:r>
    </w:p>
    <w:p w14:paraId="53706601" w14:textId="5341B720" w:rsidR="006F5E2C" w:rsidRDefault="00955FA4">
      <w:pPr>
        <w:pStyle w:val="a3"/>
        <w:spacing w:before="125"/>
        <w:ind w:left="103"/>
        <w:jc w:val="both"/>
        <w:rPr>
          <w:lang w:eastAsia="ja-JP"/>
        </w:rPr>
      </w:pPr>
      <w:r>
        <w:rPr>
          <w:lang w:eastAsia="ja-JP"/>
        </w:rPr>
        <w:t>３  賛助会員は以下の各</w:t>
      </w:r>
      <w:r w:rsidR="001B784A">
        <w:rPr>
          <w:rFonts w:hint="eastAsia"/>
          <w:lang w:eastAsia="ja-JP"/>
        </w:rPr>
        <w:t>号</w:t>
      </w:r>
      <w:r>
        <w:rPr>
          <w:lang w:eastAsia="ja-JP"/>
        </w:rPr>
        <w:t>を満たす機関または組織等とする。</w:t>
      </w:r>
    </w:p>
    <w:p w14:paraId="1A06249C" w14:textId="77777777" w:rsidR="006F5E2C" w:rsidRDefault="00955FA4">
      <w:pPr>
        <w:pStyle w:val="a3"/>
        <w:tabs>
          <w:tab w:val="left" w:pos="1063"/>
        </w:tabs>
        <w:spacing w:before="123"/>
        <w:ind w:left="583"/>
        <w:rPr>
          <w:lang w:eastAsia="ja-JP"/>
        </w:rPr>
      </w:pPr>
      <w:r>
        <w:rPr>
          <w:lang w:eastAsia="ja-JP"/>
        </w:rPr>
        <w:t>①</w:t>
      </w:r>
      <w:r>
        <w:rPr>
          <w:lang w:eastAsia="ja-JP"/>
        </w:rPr>
        <w:tab/>
      </w:r>
      <w:r>
        <w:rPr>
          <w:spacing w:val="-3"/>
          <w:lang w:eastAsia="ja-JP"/>
        </w:rPr>
        <w:t>賛助会員は本コンソーシアムの趣旨に賛同し、運営に協力する。</w:t>
      </w:r>
    </w:p>
    <w:p w14:paraId="1261CF3F" w14:textId="77777777" w:rsidR="006F5E2C" w:rsidRDefault="00955FA4">
      <w:pPr>
        <w:pStyle w:val="a3"/>
        <w:tabs>
          <w:tab w:val="left" w:pos="1061"/>
        </w:tabs>
        <w:spacing w:before="36"/>
        <w:ind w:left="581"/>
        <w:rPr>
          <w:spacing w:val="-8"/>
          <w:lang w:eastAsia="ja-JP"/>
        </w:rPr>
      </w:pPr>
      <w:r>
        <w:rPr>
          <w:lang w:eastAsia="ja-JP"/>
        </w:rPr>
        <w:t>②</w:t>
      </w:r>
      <w:r>
        <w:rPr>
          <w:lang w:eastAsia="ja-JP"/>
        </w:rPr>
        <w:tab/>
      </w:r>
      <w:r>
        <w:rPr>
          <w:spacing w:val="-7"/>
          <w:lang w:eastAsia="ja-JP"/>
        </w:rPr>
        <w:t xml:space="preserve">賛助会員は慶應義塾大学 </w:t>
      </w:r>
      <w:r>
        <w:rPr>
          <w:lang w:eastAsia="ja-JP"/>
        </w:rPr>
        <w:t>SFC</w:t>
      </w:r>
      <w:r>
        <w:rPr>
          <w:spacing w:val="-12"/>
          <w:lang w:eastAsia="ja-JP"/>
        </w:rPr>
        <w:t xml:space="preserve"> 研究所に対し別表 </w:t>
      </w:r>
      <w:r>
        <w:rPr>
          <w:lang w:eastAsia="ja-JP"/>
        </w:rPr>
        <w:t>1</w:t>
      </w:r>
      <w:r>
        <w:rPr>
          <w:spacing w:val="-8"/>
          <w:lang w:eastAsia="ja-JP"/>
        </w:rPr>
        <w:t xml:space="preserve"> に定める年会費を払い込む。</w:t>
      </w:r>
    </w:p>
    <w:p w14:paraId="2C71BA5C" w14:textId="3F98CC08" w:rsidR="005E1BBC" w:rsidRDefault="005E1BBC" w:rsidP="00FC3280">
      <w:pPr>
        <w:pStyle w:val="a3"/>
        <w:tabs>
          <w:tab w:val="left" w:pos="1061"/>
        </w:tabs>
        <w:spacing w:before="36"/>
        <w:ind w:leftChars="64" w:left="141"/>
        <w:rPr>
          <w:lang w:eastAsia="ja-JP"/>
        </w:rPr>
      </w:pPr>
      <w:r>
        <w:rPr>
          <w:rFonts w:hint="eastAsia"/>
          <w:spacing w:val="-8"/>
          <w:lang w:eastAsia="ja-JP"/>
        </w:rPr>
        <w:t>４　慶應義塾大学</w:t>
      </w:r>
      <w:r>
        <w:rPr>
          <w:spacing w:val="-8"/>
          <w:lang w:eastAsia="ja-JP"/>
        </w:rPr>
        <w:t>SFC</w:t>
      </w:r>
      <w:r>
        <w:rPr>
          <w:rFonts w:hint="eastAsia"/>
          <w:spacing w:val="-8"/>
          <w:lang w:eastAsia="ja-JP"/>
        </w:rPr>
        <w:t>研究所は本コンソーシアムの幹事会員とする。</w:t>
      </w:r>
    </w:p>
    <w:p w14:paraId="4D585E7B" w14:textId="77777777" w:rsidR="006F5E2C" w:rsidRDefault="006F5E2C">
      <w:pPr>
        <w:pStyle w:val="a3"/>
        <w:rPr>
          <w:sz w:val="20"/>
          <w:lang w:eastAsia="ja-JP"/>
        </w:rPr>
      </w:pPr>
    </w:p>
    <w:p w14:paraId="522D702C" w14:textId="77777777" w:rsidR="006F5E2C" w:rsidRDefault="006F5E2C">
      <w:pPr>
        <w:pStyle w:val="a3"/>
        <w:rPr>
          <w:sz w:val="20"/>
          <w:lang w:eastAsia="ja-JP"/>
        </w:rPr>
      </w:pPr>
    </w:p>
    <w:p w14:paraId="34351982" w14:textId="77777777" w:rsidR="006F5E2C" w:rsidRDefault="00955FA4">
      <w:pPr>
        <w:pStyle w:val="a3"/>
        <w:ind w:left="101"/>
        <w:rPr>
          <w:lang w:eastAsia="ja-JP"/>
        </w:rPr>
      </w:pPr>
      <w:r>
        <w:rPr>
          <w:lang w:eastAsia="ja-JP"/>
        </w:rPr>
        <w:t>第 5 条（活動期間、参加および退会）</w:t>
      </w:r>
    </w:p>
    <w:p w14:paraId="74205BAD" w14:textId="699E358C" w:rsidR="006F5E2C" w:rsidRDefault="00955FA4">
      <w:pPr>
        <w:pStyle w:val="a3"/>
        <w:spacing w:before="125"/>
        <w:ind w:left="102"/>
        <w:rPr>
          <w:lang w:eastAsia="ja-JP"/>
        </w:rPr>
      </w:pPr>
      <w:r>
        <w:rPr>
          <w:spacing w:val="-5"/>
          <w:lang w:eastAsia="ja-JP"/>
        </w:rPr>
        <w:t>本コンソーシアムの</w:t>
      </w:r>
      <w:r w:rsidR="00FD5316">
        <w:rPr>
          <w:rFonts w:hint="eastAsia"/>
          <w:spacing w:val="-5"/>
          <w:lang w:eastAsia="ja-JP"/>
        </w:rPr>
        <w:t>活動年度</w:t>
      </w:r>
      <w:r>
        <w:rPr>
          <w:spacing w:val="-5"/>
          <w:lang w:eastAsia="ja-JP"/>
        </w:rPr>
        <w:t>は</w:t>
      </w:r>
      <w:r w:rsidR="00FD5316">
        <w:rPr>
          <w:rFonts w:hint="eastAsia"/>
          <w:spacing w:val="-5"/>
          <w:lang w:eastAsia="ja-JP"/>
        </w:rPr>
        <w:t>毎年</w:t>
      </w:r>
      <w:r>
        <w:rPr>
          <w:spacing w:val="-5"/>
          <w:lang w:eastAsia="ja-JP"/>
        </w:rPr>
        <w:t xml:space="preserve"> </w:t>
      </w:r>
      <w:r>
        <w:rPr>
          <w:lang w:eastAsia="ja-JP"/>
        </w:rPr>
        <w:t>4</w:t>
      </w:r>
      <w:r>
        <w:rPr>
          <w:spacing w:val="-24"/>
          <w:lang w:eastAsia="ja-JP"/>
        </w:rPr>
        <w:t xml:space="preserve"> 月 </w:t>
      </w:r>
      <w:r>
        <w:rPr>
          <w:lang w:eastAsia="ja-JP"/>
        </w:rPr>
        <w:t>1</w:t>
      </w:r>
      <w:r>
        <w:rPr>
          <w:spacing w:val="-13"/>
          <w:lang w:eastAsia="ja-JP"/>
        </w:rPr>
        <w:t xml:space="preserve"> 日から翌年 </w:t>
      </w:r>
      <w:r>
        <w:rPr>
          <w:lang w:eastAsia="ja-JP"/>
        </w:rPr>
        <w:t>3</w:t>
      </w:r>
      <w:r>
        <w:rPr>
          <w:spacing w:val="-25"/>
          <w:lang w:eastAsia="ja-JP"/>
        </w:rPr>
        <w:t xml:space="preserve"> 月 </w:t>
      </w:r>
      <w:r>
        <w:rPr>
          <w:lang w:eastAsia="ja-JP"/>
        </w:rPr>
        <w:t>31</w:t>
      </w:r>
      <w:r>
        <w:rPr>
          <w:spacing w:val="-8"/>
          <w:lang w:eastAsia="ja-JP"/>
        </w:rPr>
        <w:t xml:space="preserve"> 日までとする。</w:t>
      </w:r>
    </w:p>
    <w:p w14:paraId="1869F8AE" w14:textId="2257E183" w:rsidR="006F5E2C" w:rsidRDefault="00955FA4">
      <w:pPr>
        <w:pStyle w:val="a3"/>
        <w:spacing w:before="125" w:line="348" w:lineRule="auto"/>
        <w:ind w:left="522" w:right="212" w:hanging="421"/>
        <w:jc w:val="both"/>
        <w:rPr>
          <w:spacing w:val="-6"/>
          <w:lang w:eastAsia="ja-JP"/>
        </w:rPr>
      </w:pPr>
      <w:r>
        <w:rPr>
          <w:lang w:eastAsia="ja-JP"/>
        </w:rPr>
        <w:t>２ 機関または組織等は研究メンバー登録申込書を幹事会へ提出して研究メンバー登録を</w:t>
      </w:r>
      <w:r>
        <w:rPr>
          <w:spacing w:val="-12"/>
          <w:lang w:eastAsia="ja-JP"/>
        </w:rPr>
        <w:lastRenderedPageBreak/>
        <w:t>受けることで、本コンソーシアムに参加できる。研究メンバー登録の有効期間</w:t>
      </w:r>
      <w:r w:rsidR="00FD5316">
        <w:rPr>
          <w:rFonts w:hint="eastAsia"/>
          <w:spacing w:val="-12"/>
          <w:lang w:eastAsia="ja-JP"/>
        </w:rPr>
        <w:t>は、登録を申し込んだ</w:t>
      </w:r>
      <w:r w:rsidR="006B0E87">
        <w:rPr>
          <w:rFonts w:hint="eastAsia"/>
          <w:spacing w:val="-12"/>
          <w:lang w:eastAsia="ja-JP"/>
        </w:rPr>
        <w:t>日から当該</w:t>
      </w:r>
      <w:r w:rsidR="00FD5316">
        <w:rPr>
          <w:rFonts w:hint="eastAsia"/>
          <w:spacing w:val="-12"/>
          <w:lang w:eastAsia="ja-JP"/>
        </w:rPr>
        <w:t>活動年度が終了するまで</w:t>
      </w:r>
      <w:r>
        <w:rPr>
          <w:spacing w:val="-6"/>
          <w:lang w:eastAsia="ja-JP"/>
        </w:rPr>
        <w:t>とする。</w:t>
      </w:r>
    </w:p>
    <w:p w14:paraId="7983281A" w14:textId="77777777" w:rsidR="00CB4679" w:rsidRPr="00F915AF" w:rsidRDefault="00CB4679" w:rsidP="00CB4679">
      <w:pPr>
        <w:pStyle w:val="a3"/>
        <w:spacing w:before="125" w:line="348" w:lineRule="auto"/>
        <w:ind w:left="522" w:right="212" w:hanging="421"/>
        <w:jc w:val="both"/>
        <w:rPr>
          <w:lang w:eastAsia="ja-JP"/>
        </w:rPr>
      </w:pPr>
      <w:r w:rsidRPr="00D039C7">
        <w:rPr>
          <w:rFonts w:hint="eastAsia"/>
          <w:spacing w:val="-6"/>
          <w:lang w:eastAsia="ja-JP"/>
        </w:rPr>
        <w:t>３　研究メンバー登録は、当該活動年度中に幹事会へ退会の申し出がない限り、翌活動年度へ更新されるものとする。</w:t>
      </w:r>
    </w:p>
    <w:p w14:paraId="3475F65D" w14:textId="3DC665F9" w:rsidR="006F5E2C" w:rsidRDefault="00CB4679">
      <w:pPr>
        <w:pStyle w:val="a3"/>
        <w:tabs>
          <w:tab w:val="left" w:pos="522"/>
        </w:tabs>
        <w:spacing w:before="31" w:line="348" w:lineRule="auto"/>
        <w:ind w:left="522" w:right="213" w:hanging="421"/>
        <w:rPr>
          <w:lang w:eastAsia="ja-JP"/>
        </w:rPr>
      </w:pPr>
      <w:r>
        <w:rPr>
          <w:rFonts w:hint="eastAsia"/>
          <w:lang w:eastAsia="ja-JP"/>
        </w:rPr>
        <w:t>４</w:t>
      </w:r>
      <w:r w:rsidR="00955FA4">
        <w:rPr>
          <w:lang w:eastAsia="ja-JP"/>
        </w:rPr>
        <w:tab/>
        <w:t>機関または組織等が活動</w:t>
      </w:r>
      <w:r w:rsidR="00FD5316">
        <w:rPr>
          <w:rFonts w:hint="eastAsia"/>
          <w:lang w:eastAsia="ja-JP"/>
        </w:rPr>
        <w:t>年度</w:t>
      </w:r>
      <w:r w:rsidR="00955FA4">
        <w:rPr>
          <w:lang w:eastAsia="ja-JP"/>
        </w:rPr>
        <w:t>の中途から本コンソーシアムに参加する場合、研究成果</w:t>
      </w:r>
      <w:r w:rsidR="00955FA4">
        <w:rPr>
          <w:spacing w:val="-3"/>
          <w:lang w:eastAsia="ja-JP"/>
        </w:rPr>
        <w:t>に関する当該中途参加会員への権利の帰属については、他の会員と同様とする。</w:t>
      </w:r>
    </w:p>
    <w:p w14:paraId="2C792EBE" w14:textId="663B0CF9" w:rsidR="006F5E2C" w:rsidRDefault="00CB4679">
      <w:pPr>
        <w:pStyle w:val="a3"/>
        <w:spacing w:before="31" w:line="348" w:lineRule="auto"/>
        <w:ind w:left="522" w:right="211" w:hanging="421"/>
        <w:jc w:val="both"/>
        <w:rPr>
          <w:spacing w:val="-3"/>
          <w:lang w:eastAsia="ja-JP"/>
        </w:rPr>
      </w:pPr>
      <w:r>
        <w:rPr>
          <w:rFonts w:hint="eastAsia"/>
          <w:spacing w:val="-7"/>
          <w:lang w:eastAsia="ja-JP"/>
        </w:rPr>
        <w:t>５</w:t>
      </w:r>
      <w:r w:rsidR="00955FA4">
        <w:rPr>
          <w:spacing w:val="-7"/>
          <w:lang w:eastAsia="ja-JP"/>
        </w:rPr>
        <w:t xml:space="preserve"> 会員は幹事会へ申し出ることで</w:t>
      </w:r>
      <w:r w:rsidR="006B0E87">
        <w:rPr>
          <w:rFonts w:hint="eastAsia"/>
          <w:spacing w:val="-7"/>
          <w:lang w:eastAsia="ja-JP"/>
        </w:rPr>
        <w:t>活動</w:t>
      </w:r>
      <w:r w:rsidR="001B784A">
        <w:rPr>
          <w:rFonts w:hint="eastAsia"/>
          <w:spacing w:val="-7"/>
          <w:lang w:eastAsia="ja-JP"/>
        </w:rPr>
        <w:t>年度</w:t>
      </w:r>
      <w:r w:rsidR="006B0E87">
        <w:rPr>
          <w:rFonts w:hint="eastAsia"/>
          <w:spacing w:val="-7"/>
          <w:lang w:eastAsia="ja-JP"/>
        </w:rPr>
        <w:t>の</w:t>
      </w:r>
      <w:r w:rsidR="001B784A">
        <w:rPr>
          <w:rFonts w:hint="eastAsia"/>
          <w:spacing w:val="-7"/>
          <w:lang w:eastAsia="ja-JP"/>
        </w:rPr>
        <w:t>途中であっても</w:t>
      </w:r>
      <w:r w:rsidR="00955FA4">
        <w:rPr>
          <w:spacing w:val="-7"/>
          <w:lang w:eastAsia="ja-JP"/>
        </w:rPr>
        <w:t>本コンソーシアムから退会できる。なお、退会時に未払</w:t>
      </w:r>
      <w:r w:rsidR="00955FA4">
        <w:rPr>
          <w:spacing w:val="-10"/>
          <w:lang w:eastAsia="ja-JP"/>
        </w:rPr>
        <w:t>いの会費がある場合にはこれを支払うものとし、また、既払いの会費の返還請求権並び</w:t>
      </w:r>
      <w:r w:rsidR="00955FA4">
        <w:rPr>
          <w:spacing w:val="-3"/>
          <w:lang w:eastAsia="ja-JP"/>
        </w:rPr>
        <w:t>に</w:t>
      </w:r>
      <w:r w:rsidR="001B784A">
        <w:rPr>
          <w:rFonts w:hint="eastAsia"/>
          <w:spacing w:val="-3"/>
          <w:lang w:eastAsia="ja-JP"/>
        </w:rPr>
        <w:t>当該</w:t>
      </w:r>
      <w:r w:rsidR="006B0E87">
        <w:rPr>
          <w:rFonts w:hint="eastAsia"/>
          <w:spacing w:val="-3"/>
          <w:lang w:eastAsia="ja-JP"/>
        </w:rPr>
        <w:t>活動</w:t>
      </w:r>
      <w:r w:rsidR="001B784A">
        <w:rPr>
          <w:rFonts w:hint="eastAsia"/>
          <w:spacing w:val="-3"/>
          <w:lang w:eastAsia="ja-JP"/>
        </w:rPr>
        <w:t>年度の</w:t>
      </w:r>
      <w:r w:rsidR="00955FA4">
        <w:rPr>
          <w:spacing w:val="-3"/>
          <w:lang w:eastAsia="ja-JP"/>
        </w:rPr>
        <w:t>研究成果に関する権利を失うものとする。</w:t>
      </w:r>
    </w:p>
    <w:p w14:paraId="40030A83" w14:textId="77777777" w:rsidR="006F5E2C" w:rsidRDefault="006F5E2C">
      <w:pPr>
        <w:pStyle w:val="a3"/>
        <w:rPr>
          <w:sz w:val="20"/>
          <w:lang w:eastAsia="ja-JP"/>
        </w:rPr>
      </w:pPr>
    </w:p>
    <w:p w14:paraId="4FB7151C" w14:textId="77777777" w:rsidR="006F5E2C" w:rsidRDefault="00955FA4">
      <w:pPr>
        <w:pStyle w:val="a3"/>
        <w:spacing w:before="170"/>
        <w:ind w:left="102"/>
        <w:rPr>
          <w:lang w:eastAsia="ja-JP"/>
        </w:rPr>
      </w:pPr>
      <w:r>
        <w:rPr>
          <w:lang w:eastAsia="ja-JP"/>
        </w:rPr>
        <w:t>第 6 条（ワーキンググループ）</w:t>
      </w:r>
    </w:p>
    <w:p w14:paraId="3DB1C4FD" w14:textId="77777777" w:rsidR="006F5E2C" w:rsidRDefault="00955FA4">
      <w:pPr>
        <w:pStyle w:val="a3"/>
        <w:spacing w:before="123" w:line="350" w:lineRule="auto"/>
        <w:ind w:left="103" w:right="213"/>
        <w:rPr>
          <w:lang w:eastAsia="ja-JP"/>
        </w:rPr>
      </w:pPr>
      <w:r>
        <w:rPr>
          <w:lang w:eastAsia="ja-JP"/>
        </w:rPr>
        <w:t>本コンソーシアムでは、特定のテーマに特化して本コンソーシアムの目的に即した活動を行うワーキンググループを設置する。</w:t>
      </w:r>
    </w:p>
    <w:p w14:paraId="67DEF460" w14:textId="77777777" w:rsidR="006F5E2C" w:rsidRDefault="00955FA4">
      <w:pPr>
        <w:pStyle w:val="a3"/>
        <w:tabs>
          <w:tab w:val="left" w:pos="523"/>
        </w:tabs>
        <w:spacing w:before="29"/>
        <w:ind w:left="103"/>
        <w:rPr>
          <w:lang w:eastAsia="ja-JP"/>
        </w:rPr>
      </w:pPr>
      <w:r>
        <w:rPr>
          <w:lang w:eastAsia="ja-JP"/>
        </w:rPr>
        <w:t>２</w:t>
      </w:r>
      <w:r>
        <w:rPr>
          <w:lang w:eastAsia="ja-JP"/>
        </w:rPr>
        <w:tab/>
      </w:r>
      <w:r>
        <w:rPr>
          <w:spacing w:val="-3"/>
          <w:lang w:eastAsia="ja-JP"/>
        </w:rPr>
        <w:t>ワーキンググループは幹事会の定めにより設置、解散する。</w:t>
      </w:r>
    </w:p>
    <w:p w14:paraId="6F51F83D" w14:textId="77777777" w:rsidR="006F5E2C" w:rsidRDefault="00955FA4">
      <w:pPr>
        <w:pStyle w:val="a3"/>
        <w:tabs>
          <w:tab w:val="left" w:pos="523"/>
        </w:tabs>
        <w:spacing w:before="123" w:line="350" w:lineRule="auto"/>
        <w:ind w:left="523" w:right="213" w:hanging="421"/>
        <w:rPr>
          <w:lang w:eastAsia="ja-JP"/>
        </w:rPr>
      </w:pPr>
      <w:r>
        <w:rPr>
          <w:lang w:eastAsia="ja-JP"/>
        </w:rPr>
        <w:t>３</w:t>
      </w:r>
      <w:r>
        <w:rPr>
          <w:lang w:eastAsia="ja-JP"/>
        </w:rPr>
        <w:tab/>
      </w:r>
      <w:r>
        <w:rPr>
          <w:spacing w:val="-12"/>
          <w:lang w:eastAsia="ja-JP"/>
        </w:rPr>
        <w:t>会員は自由に、任意のワーキンググループに参加、もしくは参加中</w:t>
      </w:r>
      <w:r w:rsidR="001B784A">
        <w:rPr>
          <w:rFonts w:hint="eastAsia"/>
          <w:spacing w:val="-12"/>
          <w:lang w:eastAsia="ja-JP"/>
        </w:rPr>
        <w:t>の</w:t>
      </w:r>
      <w:r>
        <w:rPr>
          <w:spacing w:val="-12"/>
          <w:lang w:eastAsia="ja-JP"/>
        </w:rPr>
        <w:t xml:space="preserve">ワーキンググループ </w:t>
      </w:r>
      <w:r>
        <w:rPr>
          <w:spacing w:val="-3"/>
          <w:lang w:eastAsia="ja-JP"/>
        </w:rPr>
        <w:t>から退会できる。</w:t>
      </w:r>
    </w:p>
    <w:p w14:paraId="36AD358B" w14:textId="77777777" w:rsidR="006F5E2C" w:rsidRDefault="006F5E2C">
      <w:pPr>
        <w:pStyle w:val="a3"/>
        <w:rPr>
          <w:sz w:val="20"/>
          <w:lang w:eastAsia="ja-JP"/>
        </w:rPr>
      </w:pPr>
    </w:p>
    <w:p w14:paraId="2DEBF93A" w14:textId="77777777" w:rsidR="006F5E2C" w:rsidRDefault="00955FA4">
      <w:pPr>
        <w:pStyle w:val="a3"/>
        <w:spacing w:before="165"/>
        <w:ind w:left="103"/>
        <w:rPr>
          <w:lang w:eastAsia="ja-JP"/>
        </w:rPr>
      </w:pPr>
      <w:r>
        <w:rPr>
          <w:lang w:eastAsia="ja-JP"/>
        </w:rPr>
        <w:t>第 7 条（幹事会）</w:t>
      </w:r>
    </w:p>
    <w:p w14:paraId="2F3E8EF7" w14:textId="27AA8711" w:rsidR="006F5E2C" w:rsidRDefault="00955FA4" w:rsidP="00FC3280">
      <w:pPr>
        <w:pStyle w:val="a3"/>
        <w:spacing w:before="125"/>
        <w:ind w:left="103"/>
        <w:rPr>
          <w:lang w:eastAsia="ja-JP"/>
        </w:rPr>
      </w:pPr>
      <w:r>
        <w:rPr>
          <w:lang w:eastAsia="ja-JP"/>
        </w:rPr>
        <w:t>本コンソーシアムの最高意思決定機関は幹事会とし、</w:t>
      </w:r>
      <w:r w:rsidR="003A1668">
        <w:rPr>
          <w:rFonts w:hint="eastAsia"/>
          <w:lang w:eastAsia="ja-JP"/>
        </w:rPr>
        <w:t>幹事会員</w:t>
      </w:r>
      <w:r>
        <w:rPr>
          <w:spacing w:val="-3"/>
          <w:lang w:eastAsia="ja-JP"/>
        </w:rPr>
        <w:t>により</w:t>
      </w:r>
      <w:r>
        <w:rPr>
          <w:spacing w:val="-12"/>
          <w:lang w:eastAsia="ja-JP"/>
        </w:rPr>
        <w:t>構成する。幹事会は幹事会員の求めに応じて随時開催できるものとし、以下の各</w:t>
      </w:r>
      <w:r w:rsidR="004144E9">
        <w:rPr>
          <w:rFonts w:hint="eastAsia"/>
          <w:spacing w:val="-12"/>
          <w:lang w:eastAsia="ja-JP"/>
        </w:rPr>
        <w:t>号</w:t>
      </w:r>
      <w:r>
        <w:rPr>
          <w:spacing w:val="-12"/>
          <w:lang w:eastAsia="ja-JP"/>
        </w:rPr>
        <w:t>に定める</w:t>
      </w:r>
      <w:r>
        <w:rPr>
          <w:spacing w:val="-3"/>
          <w:lang w:eastAsia="ja-JP"/>
        </w:rPr>
        <w:t>事項</w:t>
      </w:r>
      <w:r w:rsidR="00CE496D">
        <w:rPr>
          <w:rFonts w:hint="eastAsia"/>
          <w:spacing w:val="-3"/>
          <w:lang w:eastAsia="ja-JP"/>
        </w:rPr>
        <w:t>および本コンソーシアム全体の活動に関するその他すべての事項</w:t>
      </w:r>
      <w:r>
        <w:rPr>
          <w:spacing w:val="-3"/>
          <w:lang w:eastAsia="ja-JP"/>
        </w:rPr>
        <w:t>に関する決定を行う。</w:t>
      </w:r>
      <w:r w:rsidR="00646ACD">
        <w:rPr>
          <w:rFonts w:hint="eastAsia"/>
          <w:spacing w:val="-3"/>
          <w:lang w:eastAsia="ja-JP"/>
        </w:rPr>
        <w:t>幹事会による決定は総会での承認をもって</w:t>
      </w:r>
      <w:r w:rsidR="00BF47AB">
        <w:rPr>
          <w:rFonts w:hint="eastAsia"/>
          <w:spacing w:val="-3"/>
          <w:lang w:eastAsia="ja-JP"/>
        </w:rPr>
        <w:t>有効となる。</w:t>
      </w:r>
    </w:p>
    <w:p w14:paraId="0DFF730C" w14:textId="77777777" w:rsidR="006F5E2C" w:rsidRDefault="00955FA4">
      <w:pPr>
        <w:pStyle w:val="a3"/>
        <w:spacing w:before="31"/>
        <w:ind w:left="103"/>
        <w:rPr>
          <w:lang w:eastAsia="ja-JP"/>
        </w:rPr>
      </w:pPr>
      <w:r>
        <w:rPr>
          <w:lang w:eastAsia="ja-JP"/>
        </w:rPr>
        <w:t>① 本運営規程の改訂</w:t>
      </w:r>
    </w:p>
    <w:p w14:paraId="1BED5A9E" w14:textId="77777777" w:rsidR="006F5E2C" w:rsidRDefault="00955FA4">
      <w:pPr>
        <w:pStyle w:val="a3"/>
        <w:spacing w:before="123"/>
        <w:ind w:left="103"/>
        <w:rPr>
          <w:lang w:eastAsia="ja-JP"/>
        </w:rPr>
      </w:pPr>
      <w:r>
        <w:rPr>
          <w:lang w:eastAsia="ja-JP"/>
        </w:rPr>
        <w:t>② 年間活動計画</w:t>
      </w:r>
    </w:p>
    <w:p w14:paraId="7BBA2F45" w14:textId="77777777" w:rsidR="006F5E2C" w:rsidRDefault="00955FA4">
      <w:pPr>
        <w:pStyle w:val="a3"/>
        <w:spacing w:before="125"/>
        <w:ind w:left="104"/>
        <w:rPr>
          <w:lang w:eastAsia="ja-JP"/>
        </w:rPr>
      </w:pPr>
      <w:r>
        <w:rPr>
          <w:lang w:eastAsia="ja-JP"/>
        </w:rPr>
        <w:t>③ 予算および決算</w:t>
      </w:r>
    </w:p>
    <w:p w14:paraId="30B45C09" w14:textId="77777777" w:rsidR="006F5E2C" w:rsidRDefault="00955FA4">
      <w:pPr>
        <w:pStyle w:val="a3"/>
        <w:spacing w:before="125"/>
        <w:ind w:left="104"/>
        <w:rPr>
          <w:lang w:eastAsia="ja-JP"/>
        </w:rPr>
      </w:pPr>
      <w:r>
        <w:rPr>
          <w:lang w:eastAsia="ja-JP"/>
        </w:rPr>
        <w:t>④ ワーキンググループの設置および解散</w:t>
      </w:r>
    </w:p>
    <w:p w14:paraId="0B3B1A51" w14:textId="2ABA50FA" w:rsidR="006F5E2C" w:rsidRDefault="00BE0F63">
      <w:pPr>
        <w:pStyle w:val="a3"/>
        <w:spacing w:before="126"/>
        <w:ind w:left="104"/>
        <w:rPr>
          <w:lang w:eastAsia="ja-JP"/>
        </w:rPr>
      </w:pPr>
      <w:r>
        <w:rPr>
          <w:rFonts w:hint="eastAsia"/>
          <w:lang w:eastAsia="ja-JP"/>
        </w:rPr>
        <w:t>⑤</w:t>
      </w:r>
      <w:r w:rsidR="00955FA4">
        <w:rPr>
          <w:lang w:eastAsia="ja-JP"/>
        </w:rPr>
        <w:t xml:space="preserve"> 本コンソーシアムの活動により得られた研究成果および知的財産権の取り扱い</w:t>
      </w:r>
    </w:p>
    <w:p w14:paraId="274FBA41" w14:textId="48C13E6B" w:rsidR="007B62F5" w:rsidRDefault="00BE0F63" w:rsidP="007B62F5">
      <w:pPr>
        <w:pStyle w:val="a3"/>
        <w:spacing w:before="126"/>
        <w:ind w:left="104"/>
        <w:rPr>
          <w:lang w:eastAsia="ja-JP"/>
        </w:rPr>
      </w:pPr>
      <w:r>
        <w:rPr>
          <w:rFonts w:hint="eastAsia"/>
          <w:lang w:eastAsia="ja-JP"/>
        </w:rPr>
        <w:t>⑥</w:t>
      </w:r>
      <w:r w:rsidR="00955FA4">
        <w:rPr>
          <w:lang w:eastAsia="ja-JP"/>
        </w:rPr>
        <w:t xml:space="preserve"> 本コンソーシアムの継続、解散</w:t>
      </w:r>
    </w:p>
    <w:p w14:paraId="75412577" w14:textId="0E2BE0DA" w:rsidR="00C87C9C" w:rsidRDefault="00CE496D" w:rsidP="00FC3280">
      <w:pPr>
        <w:pStyle w:val="a3"/>
        <w:spacing w:before="36"/>
        <w:ind w:leftChars="46" w:left="565" w:hangingChars="221" w:hanging="464"/>
        <w:jc w:val="both"/>
        <w:rPr>
          <w:lang w:eastAsia="ja-JP"/>
        </w:rPr>
      </w:pPr>
      <w:r>
        <w:rPr>
          <w:rFonts w:hint="eastAsia"/>
          <w:lang w:eastAsia="ja-JP"/>
        </w:rPr>
        <w:t>２</w:t>
      </w:r>
      <w:r w:rsidR="004144E9">
        <w:rPr>
          <w:rFonts w:hint="eastAsia"/>
          <w:lang w:eastAsia="ja-JP"/>
        </w:rPr>
        <w:t xml:space="preserve">　幹事会</w:t>
      </w:r>
      <w:r w:rsidR="00C87C9C">
        <w:rPr>
          <w:rFonts w:hint="eastAsia"/>
          <w:lang w:eastAsia="ja-JP"/>
        </w:rPr>
        <w:t>員は</w:t>
      </w:r>
      <w:r w:rsidR="00055780">
        <w:rPr>
          <w:rFonts w:hint="eastAsia"/>
          <w:lang w:eastAsia="ja-JP"/>
        </w:rPr>
        <w:t>1個の議決権を有し、幹事会に出席してこれを行使できる</w:t>
      </w:r>
      <w:r w:rsidR="00C87C9C">
        <w:rPr>
          <w:rFonts w:hint="eastAsia"/>
          <w:lang w:eastAsia="ja-JP"/>
        </w:rPr>
        <w:t>。幹事会を欠席する</w:t>
      </w:r>
      <w:r w:rsidR="00C806DD">
        <w:rPr>
          <w:rFonts w:hint="eastAsia"/>
          <w:lang w:eastAsia="ja-JP"/>
        </w:rPr>
        <w:t>幹事会員は</w:t>
      </w:r>
      <w:r w:rsidR="00C87C9C">
        <w:rPr>
          <w:rFonts w:hint="eastAsia"/>
          <w:lang w:eastAsia="ja-JP"/>
        </w:rPr>
        <w:t>、</w:t>
      </w:r>
      <w:r w:rsidR="00C806DD">
        <w:rPr>
          <w:rFonts w:hint="eastAsia"/>
          <w:lang w:eastAsia="ja-JP"/>
        </w:rPr>
        <w:t>当該幹事会での</w:t>
      </w:r>
      <w:r w:rsidR="005B00C6">
        <w:rPr>
          <w:rFonts w:hint="eastAsia"/>
          <w:lang w:eastAsia="ja-JP"/>
        </w:rPr>
        <w:t>議決権</w:t>
      </w:r>
      <w:r w:rsidR="00C87C9C">
        <w:rPr>
          <w:rFonts w:hint="eastAsia"/>
          <w:lang w:eastAsia="ja-JP"/>
        </w:rPr>
        <w:t>を</w:t>
      </w:r>
      <w:r w:rsidR="00066702">
        <w:rPr>
          <w:rFonts w:hint="eastAsia"/>
          <w:lang w:eastAsia="ja-JP"/>
        </w:rPr>
        <w:t>代表に委任するものとする。</w:t>
      </w:r>
    </w:p>
    <w:p w14:paraId="482D8574" w14:textId="7C2D3560" w:rsidR="005B00C6" w:rsidRDefault="00CE496D" w:rsidP="00FC3280">
      <w:pPr>
        <w:pStyle w:val="a3"/>
        <w:spacing w:before="36"/>
        <w:ind w:leftChars="46" w:left="565" w:hangingChars="221" w:hanging="464"/>
        <w:jc w:val="both"/>
        <w:rPr>
          <w:lang w:eastAsia="ja-JP"/>
        </w:rPr>
      </w:pPr>
      <w:r>
        <w:rPr>
          <w:rFonts w:hint="eastAsia"/>
          <w:lang w:eastAsia="ja-JP"/>
        </w:rPr>
        <w:t>３</w:t>
      </w:r>
      <w:r w:rsidR="00981AD2">
        <w:rPr>
          <w:rFonts w:hint="eastAsia"/>
          <w:lang w:eastAsia="ja-JP"/>
        </w:rPr>
        <w:t xml:space="preserve">　</w:t>
      </w:r>
      <w:r w:rsidR="00600B26">
        <w:rPr>
          <w:rFonts w:hint="eastAsia"/>
          <w:lang w:eastAsia="ja-JP"/>
        </w:rPr>
        <w:t>幹事会での決議は</w:t>
      </w:r>
      <w:r w:rsidR="004144E9">
        <w:rPr>
          <w:rFonts w:hint="eastAsia"/>
          <w:lang w:eastAsia="ja-JP"/>
        </w:rPr>
        <w:t>、幹事会員</w:t>
      </w:r>
      <w:r w:rsidR="00600B26">
        <w:rPr>
          <w:rFonts w:hint="eastAsia"/>
          <w:lang w:eastAsia="ja-JP"/>
        </w:rPr>
        <w:t>の</w:t>
      </w:r>
      <w:r w:rsidR="001C1EF5">
        <w:rPr>
          <w:rFonts w:hint="eastAsia"/>
          <w:lang w:eastAsia="ja-JP"/>
        </w:rPr>
        <w:t>3分の2以上</w:t>
      </w:r>
      <w:r w:rsidR="00034A19">
        <w:rPr>
          <w:rFonts w:hint="eastAsia"/>
          <w:lang w:eastAsia="ja-JP"/>
        </w:rPr>
        <w:t>が</w:t>
      </w:r>
      <w:r w:rsidR="00600B26">
        <w:rPr>
          <w:rFonts w:hint="eastAsia"/>
          <w:lang w:eastAsia="ja-JP"/>
        </w:rPr>
        <w:t>出席</w:t>
      </w:r>
      <w:r w:rsidR="00034A19">
        <w:rPr>
          <w:rFonts w:hint="eastAsia"/>
          <w:lang w:eastAsia="ja-JP"/>
        </w:rPr>
        <w:t>し</w:t>
      </w:r>
      <w:r w:rsidR="00600B26">
        <w:rPr>
          <w:rFonts w:hint="eastAsia"/>
          <w:lang w:eastAsia="ja-JP"/>
        </w:rPr>
        <w:t>、</w:t>
      </w:r>
      <w:r w:rsidR="004144E9">
        <w:rPr>
          <w:rFonts w:hint="eastAsia"/>
          <w:lang w:eastAsia="ja-JP"/>
        </w:rPr>
        <w:t>議決権の</w:t>
      </w:r>
      <w:r w:rsidR="001C1EF5">
        <w:rPr>
          <w:rFonts w:hint="eastAsia"/>
          <w:lang w:eastAsia="ja-JP"/>
        </w:rPr>
        <w:t>3分の2以上</w:t>
      </w:r>
      <w:r w:rsidR="004144E9">
        <w:rPr>
          <w:rFonts w:hint="eastAsia"/>
          <w:lang w:eastAsia="ja-JP"/>
        </w:rPr>
        <w:t>に当たる多数を</w:t>
      </w:r>
      <w:r w:rsidR="00034A19">
        <w:rPr>
          <w:rFonts w:hint="eastAsia"/>
          <w:lang w:eastAsia="ja-JP"/>
        </w:rPr>
        <w:t>もって行わなければならない</w:t>
      </w:r>
      <w:r w:rsidR="004144E9">
        <w:rPr>
          <w:rFonts w:hint="eastAsia"/>
          <w:lang w:eastAsia="ja-JP"/>
        </w:rPr>
        <w:t>。</w:t>
      </w:r>
    </w:p>
    <w:p w14:paraId="23D40DEF" w14:textId="77777777" w:rsidR="006F5E2C" w:rsidRDefault="006F5E2C">
      <w:pPr>
        <w:pStyle w:val="a3"/>
        <w:rPr>
          <w:sz w:val="20"/>
          <w:lang w:eastAsia="ja-JP"/>
        </w:rPr>
      </w:pPr>
    </w:p>
    <w:p w14:paraId="19274505" w14:textId="77777777" w:rsidR="006F5E2C" w:rsidRDefault="00955FA4">
      <w:pPr>
        <w:pStyle w:val="a3"/>
        <w:ind w:left="101"/>
        <w:jc w:val="both"/>
        <w:rPr>
          <w:lang w:eastAsia="ja-JP"/>
        </w:rPr>
      </w:pPr>
      <w:r>
        <w:rPr>
          <w:lang w:eastAsia="ja-JP"/>
        </w:rPr>
        <w:t>第 8 条（総会）</w:t>
      </w:r>
    </w:p>
    <w:p w14:paraId="128F9754" w14:textId="11CE1041" w:rsidR="006F5E2C" w:rsidRDefault="00955FA4">
      <w:pPr>
        <w:pStyle w:val="a3"/>
        <w:spacing w:before="125" w:line="350" w:lineRule="auto"/>
        <w:ind w:left="101" w:right="113"/>
        <w:jc w:val="both"/>
        <w:rPr>
          <w:lang w:eastAsia="ja-JP"/>
        </w:rPr>
      </w:pPr>
      <w:r>
        <w:rPr>
          <w:lang w:eastAsia="ja-JP"/>
        </w:rPr>
        <w:t>幹事会が総会の開催を決定した場合には、幹事会は全ての会員に対して当該総会の開催について開催日の 1ヶ月前までに通知し、出席を要請しなければならない。</w:t>
      </w:r>
    </w:p>
    <w:p w14:paraId="29AD2212" w14:textId="3BFB388F" w:rsidR="006F5E2C" w:rsidRDefault="009E3B5C" w:rsidP="00994795">
      <w:pPr>
        <w:pStyle w:val="a3"/>
        <w:tabs>
          <w:tab w:val="left" w:pos="521"/>
        </w:tabs>
        <w:spacing w:before="26" w:line="350" w:lineRule="auto"/>
        <w:ind w:left="521" w:right="115" w:hanging="421"/>
        <w:rPr>
          <w:lang w:eastAsia="ja-JP"/>
        </w:rPr>
      </w:pPr>
      <w:r>
        <w:rPr>
          <w:rFonts w:hint="eastAsia"/>
          <w:lang w:eastAsia="ja-JP"/>
        </w:rPr>
        <w:t>２　会員は1個の議決権を有し、総会に出席してこれを行使できる。</w:t>
      </w:r>
      <w:r w:rsidR="00955FA4">
        <w:rPr>
          <w:spacing w:val="-8"/>
          <w:lang w:eastAsia="ja-JP"/>
        </w:rPr>
        <w:t>総会を欠席する</w:t>
      </w:r>
      <w:r w:rsidR="00C806DD">
        <w:rPr>
          <w:rFonts w:hint="eastAsia"/>
          <w:spacing w:val="-8"/>
          <w:lang w:eastAsia="ja-JP"/>
        </w:rPr>
        <w:t>会員</w:t>
      </w:r>
      <w:r w:rsidR="00955FA4">
        <w:rPr>
          <w:spacing w:val="-8"/>
          <w:lang w:eastAsia="ja-JP"/>
        </w:rPr>
        <w:t>は、</w:t>
      </w:r>
      <w:r w:rsidR="00C806DD">
        <w:rPr>
          <w:rFonts w:hint="eastAsia"/>
          <w:spacing w:val="-8"/>
          <w:lang w:eastAsia="ja-JP"/>
        </w:rPr>
        <w:t>当該総会での</w:t>
      </w:r>
      <w:r>
        <w:rPr>
          <w:rFonts w:hint="eastAsia"/>
          <w:spacing w:val="-8"/>
          <w:lang w:eastAsia="ja-JP"/>
        </w:rPr>
        <w:t>議決権</w:t>
      </w:r>
      <w:r w:rsidR="00955FA4">
        <w:rPr>
          <w:spacing w:val="-3"/>
          <w:lang w:eastAsia="ja-JP"/>
        </w:rPr>
        <w:t>を幹事会に委任するものとする。</w:t>
      </w:r>
    </w:p>
    <w:p w14:paraId="7200DAFC" w14:textId="66BE63FC" w:rsidR="006F5E2C" w:rsidRDefault="006445E1" w:rsidP="00FC3280">
      <w:pPr>
        <w:pStyle w:val="a3"/>
        <w:spacing w:before="29"/>
        <w:ind w:leftChars="46" w:left="565" w:hangingChars="221" w:hanging="464"/>
        <w:jc w:val="both"/>
        <w:rPr>
          <w:lang w:eastAsia="ja-JP"/>
        </w:rPr>
      </w:pPr>
      <w:r>
        <w:rPr>
          <w:rFonts w:hint="eastAsia"/>
          <w:lang w:eastAsia="ja-JP"/>
        </w:rPr>
        <w:t>３</w:t>
      </w:r>
      <w:r w:rsidR="00955FA4">
        <w:rPr>
          <w:lang w:eastAsia="ja-JP"/>
        </w:rPr>
        <w:t xml:space="preserve">  </w:t>
      </w:r>
      <w:r w:rsidR="009E3B5C">
        <w:rPr>
          <w:rFonts w:hint="eastAsia"/>
          <w:lang w:eastAsia="ja-JP"/>
        </w:rPr>
        <w:t>総会での決議は、会員の</w:t>
      </w:r>
      <w:r w:rsidR="00DE2799">
        <w:rPr>
          <w:rFonts w:hint="eastAsia"/>
          <w:lang w:eastAsia="ja-JP"/>
        </w:rPr>
        <w:t>3分の2以上</w:t>
      </w:r>
      <w:r w:rsidR="009E3B5C">
        <w:rPr>
          <w:rFonts w:hint="eastAsia"/>
          <w:lang w:eastAsia="ja-JP"/>
        </w:rPr>
        <w:t>が出席し、議決権の</w:t>
      </w:r>
      <w:r w:rsidR="00DE2799">
        <w:rPr>
          <w:rFonts w:hint="eastAsia"/>
          <w:lang w:eastAsia="ja-JP"/>
        </w:rPr>
        <w:t>3分の2以上</w:t>
      </w:r>
      <w:r w:rsidR="009E3B5C">
        <w:rPr>
          <w:rFonts w:hint="eastAsia"/>
          <w:lang w:eastAsia="ja-JP"/>
        </w:rPr>
        <w:t>にあたる多数を</w:t>
      </w:r>
      <w:r w:rsidR="00DE2799">
        <w:rPr>
          <w:rFonts w:hint="eastAsia"/>
          <w:lang w:eastAsia="ja-JP"/>
        </w:rPr>
        <w:t>も</w:t>
      </w:r>
      <w:r w:rsidR="009E3B5C">
        <w:rPr>
          <w:rFonts w:hint="eastAsia"/>
          <w:lang w:eastAsia="ja-JP"/>
        </w:rPr>
        <w:t>っ</w:t>
      </w:r>
      <w:r w:rsidR="009E3B5C">
        <w:rPr>
          <w:rFonts w:hint="eastAsia"/>
          <w:lang w:eastAsia="ja-JP"/>
        </w:rPr>
        <w:lastRenderedPageBreak/>
        <w:t>て行わなければならない。</w:t>
      </w:r>
    </w:p>
    <w:p w14:paraId="3D8D442C" w14:textId="474E5AF3" w:rsidR="00253211" w:rsidRDefault="00253211" w:rsidP="00253211">
      <w:pPr>
        <w:pStyle w:val="a3"/>
        <w:spacing w:before="31" w:line="348" w:lineRule="auto"/>
        <w:ind w:left="522" w:right="211" w:hanging="421"/>
        <w:jc w:val="both"/>
        <w:rPr>
          <w:lang w:eastAsia="ja-JP"/>
        </w:rPr>
      </w:pPr>
      <w:r>
        <w:rPr>
          <w:rFonts w:hint="eastAsia"/>
          <w:spacing w:val="-3"/>
          <w:lang w:eastAsia="ja-JP"/>
        </w:rPr>
        <w:t>４</w:t>
      </w:r>
      <w:r>
        <w:rPr>
          <w:spacing w:val="-3"/>
          <w:lang w:eastAsia="ja-JP"/>
        </w:rPr>
        <w:t xml:space="preserve"> </w:t>
      </w:r>
      <w:r>
        <w:rPr>
          <w:rFonts w:hint="eastAsia"/>
          <w:spacing w:val="-3"/>
          <w:lang w:eastAsia="ja-JP"/>
        </w:rPr>
        <w:t>本コンソーシアムを退会した機関または組織等は、未だ会員であった時期に総会でなされた決議に拘束されないものとする。</w:t>
      </w:r>
    </w:p>
    <w:p w14:paraId="25DDFC92" w14:textId="77777777" w:rsidR="006F5E2C" w:rsidRDefault="006F5E2C">
      <w:pPr>
        <w:pStyle w:val="a3"/>
        <w:rPr>
          <w:sz w:val="20"/>
          <w:lang w:eastAsia="ja-JP"/>
        </w:rPr>
      </w:pPr>
    </w:p>
    <w:p w14:paraId="3CD6A46B" w14:textId="77777777" w:rsidR="006F5E2C" w:rsidRDefault="00955FA4">
      <w:pPr>
        <w:pStyle w:val="a3"/>
        <w:spacing w:before="1"/>
        <w:ind w:left="102"/>
        <w:jc w:val="both"/>
        <w:rPr>
          <w:lang w:eastAsia="ja-JP"/>
        </w:rPr>
      </w:pPr>
      <w:r>
        <w:rPr>
          <w:lang w:eastAsia="ja-JP"/>
        </w:rPr>
        <w:t>第 9 条（研究成果）</w:t>
      </w:r>
    </w:p>
    <w:p w14:paraId="522F5F6E" w14:textId="51231309" w:rsidR="006F5E2C" w:rsidRDefault="00955FA4">
      <w:pPr>
        <w:pStyle w:val="a3"/>
        <w:spacing w:before="126" w:line="350" w:lineRule="auto"/>
        <w:ind w:left="102" w:right="111"/>
        <w:jc w:val="both"/>
        <w:rPr>
          <w:lang w:eastAsia="ja-JP"/>
        </w:rPr>
      </w:pPr>
      <w:r>
        <w:rPr>
          <w:spacing w:val="-8"/>
          <w:lang w:eastAsia="ja-JP"/>
        </w:rPr>
        <w:t>本研究の過程および結果として新たに生じ、又は作成、取得された、発明、考案、著作物、</w:t>
      </w:r>
      <w:r>
        <w:rPr>
          <w:spacing w:val="-9"/>
          <w:lang w:eastAsia="ja-JP"/>
        </w:rPr>
        <w:t>文書を含む全ての成果物</w:t>
      </w:r>
      <w:r>
        <w:rPr>
          <w:spacing w:val="-3"/>
          <w:lang w:eastAsia="ja-JP"/>
        </w:rPr>
        <w:t>（</w:t>
      </w:r>
      <w:r>
        <w:rPr>
          <w:spacing w:val="-16"/>
          <w:lang w:eastAsia="ja-JP"/>
        </w:rPr>
        <w:t>以下「研究成果」という</w:t>
      </w:r>
      <w:r>
        <w:rPr>
          <w:spacing w:val="-68"/>
          <w:lang w:eastAsia="ja-JP"/>
        </w:rPr>
        <w:t>）</w:t>
      </w:r>
      <w:r>
        <w:rPr>
          <w:spacing w:val="-8"/>
          <w:lang w:eastAsia="ja-JP"/>
        </w:rPr>
        <w:t>および研究成果に関する知的財産権</w:t>
      </w:r>
      <w:r>
        <w:rPr>
          <w:lang w:eastAsia="ja-JP"/>
        </w:rPr>
        <w:t>（特</w:t>
      </w:r>
      <w:r>
        <w:rPr>
          <w:spacing w:val="-11"/>
          <w:lang w:eastAsia="ja-JP"/>
        </w:rPr>
        <w:t>許権、実用新案権、意匠権、著作権を含みこれに限られない。以下「知的財産権」という</w:t>
      </w:r>
      <w:r>
        <w:rPr>
          <w:lang w:eastAsia="ja-JP"/>
        </w:rPr>
        <w:t xml:space="preserve">） </w:t>
      </w:r>
      <w:r>
        <w:rPr>
          <w:spacing w:val="-3"/>
          <w:lang w:eastAsia="ja-JP"/>
        </w:rPr>
        <w:t>は、以下の定めに基づき扱うものとする。</w:t>
      </w:r>
    </w:p>
    <w:p w14:paraId="7E6CEEFA" w14:textId="77777777" w:rsidR="006F5E2C" w:rsidRDefault="00955FA4">
      <w:pPr>
        <w:pStyle w:val="a3"/>
        <w:spacing w:before="27"/>
        <w:ind w:left="102"/>
        <w:jc w:val="both"/>
        <w:rPr>
          <w:lang w:eastAsia="ja-JP"/>
        </w:rPr>
      </w:pPr>
      <w:r>
        <w:rPr>
          <w:lang w:eastAsia="ja-JP"/>
        </w:rPr>
        <w:t>① 共有の原則</w:t>
      </w:r>
    </w:p>
    <w:p w14:paraId="3418DBDD" w14:textId="77777777" w:rsidR="006F5E2C" w:rsidRDefault="00955FA4">
      <w:pPr>
        <w:pStyle w:val="a3"/>
        <w:spacing w:before="126" w:line="350" w:lineRule="auto"/>
        <w:ind w:left="102" w:right="113"/>
        <w:jc w:val="both"/>
        <w:rPr>
          <w:lang w:eastAsia="ja-JP"/>
        </w:rPr>
      </w:pPr>
      <w:r>
        <w:rPr>
          <w:lang w:eastAsia="ja-JP"/>
        </w:rPr>
        <w:t>研究成果および知的財産権は原則として本コンソーシアムの全ての会員が共有するものとする。</w:t>
      </w:r>
    </w:p>
    <w:p w14:paraId="38B78E9E" w14:textId="77777777" w:rsidR="006F5E2C" w:rsidRDefault="00955FA4">
      <w:pPr>
        <w:pStyle w:val="a3"/>
        <w:spacing w:before="26"/>
        <w:ind w:left="102"/>
        <w:jc w:val="both"/>
        <w:rPr>
          <w:lang w:eastAsia="ja-JP"/>
        </w:rPr>
      </w:pPr>
      <w:r>
        <w:rPr>
          <w:lang w:eastAsia="ja-JP"/>
        </w:rPr>
        <w:t>② 公開の原則</w:t>
      </w:r>
    </w:p>
    <w:p w14:paraId="74E71B5D" w14:textId="77777777" w:rsidR="006F5E2C" w:rsidRDefault="00955FA4">
      <w:pPr>
        <w:pStyle w:val="a3"/>
        <w:spacing w:before="125"/>
        <w:ind w:left="102"/>
        <w:jc w:val="both"/>
        <w:rPr>
          <w:lang w:eastAsia="ja-JP"/>
        </w:rPr>
      </w:pPr>
      <w:r>
        <w:rPr>
          <w:lang w:eastAsia="ja-JP"/>
        </w:rPr>
        <w:t>本コンソーシアムの目的に鑑み、研究成果は原則として一般に公開するものとする。</w:t>
      </w:r>
    </w:p>
    <w:p w14:paraId="6111A210" w14:textId="77777777" w:rsidR="006F5E2C" w:rsidRDefault="00955FA4">
      <w:pPr>
        <w:pStyle w:val="a3"/>
        <w:spacing w:before="125"/>
        <w:ind w:left="102"/>
        <w:jc w:val="both"/>
        <w:rPr>
          <w:lang w:eastAsia="ja-JP"/>
        </w:rPr>
      </w:pPr>
      <w:r>
        <w:rPr>
          <w:lang w:eastAsia="ja-JP"/>
        </w:rPr>
        <w:t>③ 共有および公開の決定</w:t>
      </w:r>
    </w:p>
    <w:p w14:paraId="7C833393" w14:textId="3A9C30B4" w:rsidR="006F5E2C" w:rsidRDefault="00955FA4">
      <w:pPr>
        <w:pStyle w:val="a3"/>
        <w:spacing w:before="123" w:line="350" w:lineRule="auto"/>
        <w:ind w:left="102" w:right="112"/>
        <w:jc w:val="both"/>
        <w:rPr>
          <w:lang w:eastAsia="ja-JP"/>
        </w:rPr>
      </w:pPr>
      <w:r>
        <w:rPr>
          <w:spacing w:val="-8"/>
          <w:lang w:eastAsia="ja-JP"/>
        </w:rPr>
        <w:t>研究成果あるいは知的財産権が新たに生じ、または作成、取得された場合には、共有および</w:t>
      </w:r>
      <w:r>
        <w:rPr>
          <w:spacing w:val="-3"/>
          <w:lang w:eastAsia="ja-JP"/>
        </w:rPr>
        <w:t xml:space="preserve">公開の方法や時期ならびにその他一切の取り扱いを、上記 </w:t>
      </w:r>
      <w:r>
        <w:rPr>
          <w:lang w:eastAsia="ja-JP"/>
        </w:rPr>
        <w:t>2</w:t>
      </w:r>
      <w:r>
        <w:rPr>
          <w:spacing w:val="-3"/>
          <w:lang w:eastAsia="ja-JP"/>
        </w:rPr>
        <w:t xml:space="preserve"> 原則をふまえた上で</w:t>
      </w:r>
      <w:r w:rsidR="00C26600">
        <w:rPr>
          <w:rFonts w:hint="eastAsia"/>
          <w:spacing w:val="-3"/>
          <w:lang w:eastAsia="ja-JP"/>
        </w:rPr>
        <w:t>、当該知的財産権を成した会員と協議の上、</w:t>
      </w:r>
      <w:r>
        <w:rPr>
          <w:spacing w:val="-3"/>
          <w:lang w:eastAsia="ja-JP"/>
        </w:rPr>
        <w:t>幹事会が決定</w:t>
      </w:r>
      <w:r w:rsidR="00465B5B">
        <w:rPr>
          <w:rFonts w:hint="eastAsia"/>
          <w:spacing w:val="-3"/>
          <w:lang w:eastAsia="ja-JP"/>
        </w:rPr>
        <w:t>し、当該決定につき第8条に基づき総会の承認を得</w:t>
      </w:r>
      <w:r>
        <w:rPr>
          <w:spacing w:val="-3"/>
          <w:lang w:eastAsia="ja-JP"/>
        </w:rPr>
        <w:t>るものとする。</w:t>
      </w:r>
    </w:p>
    <w:p w14:paraId="54781A2A" w14:textId="77777777" w:rsidR="000A4C69" w:rsidRDefault="000A4C69">
      <w:pPr>
        <w:pStyle w:val="a3"/>
        <w:rPr>
          <w:sz w:val="20"/>
          <w:lang w:eastAsia="ja-JP"/>
        </w:rPr>
      </w:pPr>
    </w:p>
    <w:p w14:paraId="1E909A05" w14:textId="77777777" w:rsidR="006F5E2C" w:rsidRDefault="00955FA4">
      <w:pPr>
        <w:pStyle w:val="a3"/>
        <w:spacing w:before="166"/>
        <w:ind w:left="102"/>
        <w:jc w:val="both"/>
        <w:rPr>
          <w:lang w:eastAsia="ja-JP"/>
        </w:rPr>
      </w:pPr>
      <w:r>
        <w:rPr>
          <w:lang w:eastAsia="ja-JP"/>
        </w:rPr>
        <w:t>第 10 条（原著作物）</w:t>
      </w:r>
    </w:p>
    <w:p w14:paraId="2C7186B6" w14:textId="1FBCDDCD" w:rsidR="006F5E2C" w:rsidRDefault="00955FA4">
      <w:pPr>
        <w:pStyle w:val="a3"/>
        <w:spacing w:before="126" w:line="350" w:lineRule="auto"/>
        <w:ind w:left="102" w:right="111"/>
        <w:jc w:val="both"/>
        <w:rPr>
          <w:lang w:eastAsia="ja-JP"/>
        </w:rPr>
      </w:pPr>
      <w:r>
        <w:rPr>
          <w:spacing w:val="-7"/>
          <w:lang w:eastAsia="ja-JP"/>
        </w:rPr>
        <w:t>本コンソーシアムの会員は、本研究の実施に必要な自己が著作権を有する著作物</w:t>
      </w:r>
      <w:r>
        <w:rPr>
          <w:lang w:eastAsia="ja-JP"/>
        </w:rPr>
        <w:t>（</w:t>
      </w:r>
      <w:r>
        <w:rPr>
          <w:spacing w:val="-11"/>
          <w:lang w:eastAsia="ja-JP"/>
        </w:rPr>
        <w:t>以下「原</w:t>
      </w:r>
      <w:r>
        <w:rPr>
          <w:spacing w:val="-8"/>
          <w:lang w:eastAsia="ja-JP"/>
        </w:rPr>
        <w:t>著作物」という</w:t>
      </w:r>
      <w:r>
        <w:rPr>
          <w:spacing w:val="-20"/>
          <w:lang w:eastAsia="ja-JP"/>
        </w:rPr>
        <w:t>）</w:t>
      </w:r>
      <w:r>
        <w:rPr>
          <w:spacing w:val="-7"/>
          <w:lang w:eastAsia="ja-JP"/>
        </w:rPr>
        <w:t>を、自己の裁量により他の会員</w:t>
      </w:r>
      <w:r>
        <w:rPr>
          <w:lang w:eastAsia="ja-JP"/>
        </w:rPr>
        <w:t>（</w:t>
      </w:r>
      <w:r>
        <w:rPr>
          <w:spacing w:val="-7"/>
          <w:lang w:eastAsia="ja-JP"/>
        </w:rPr>
        <w:t>以下「被提供者」という</w:t>
      </w:r>
      <w:r>
        <w:rPr>
          <w:spacing w:val="-17"/>
          <w:lang w:eastAsia="ja-JP"/>
        </w:rPr>
        <w:t>）</w:t>
      </w:r>
      <w:r>
        <w:rPr>
          <w:spacing w:val="-3"/>
          <w:lang w:eastAsia="ja-JP"/>
        </w:rPr>
        <w:t>に対し無償で</w:t>
      </w:r>
      <w:r>
        <w:rPr>
          <w:spacing w:val="-10"/>
          <w:lang w:eastAsia="ja-JP"/>
        </w:rPr>
        <w:t>提供</w:t>
      </w:r>
      <w:r w:rsidR="00914320">
        <w:rPr>
          <w:rFonts w:hint="eastAsia"/>
          <w:spacing w:val="-10"/>
          <w:lang w:eastAsia="ja-JP"/>
        </w:rPr>
        <w:t>できる</w:t>
      </w:r>
      <w:r>
        <w:rPr>
          <w:spacing w:val="-10"/>
          <w:lang w:eastAsia="ja-JP"/>
        </w:rPr>
        <w:t>ものとする。この場合、原著作物の著作権者は、被提供者に対し、当該原著作物を</w:t>
      </w:r>
      <w:r>
        <w:rPr>
          <w:spacing w:val="-3"/>
          <w:lang w:eastAsia="ja-JP"/>
        </w:rPr>
        <w:t>本研究の目的の範囲内で無償にて使用する権利を許諾するものとする。</w:t>
      </w:r>
    </w:p>
    <w:p w14:paraId="1A49C63E" w14:textId="77777777" w:rsidR="006F5E2C" w:rsidRDefault="00955FA4" w:rsidP="00FC3280">
      <w:pPr>
        <w:pStyle w:val="a3"/>
        <w:tabs>
          <w:tab w:val="left" w:pos="522"/>
        </w:tabs>
        <w:spacing w:before="27" w:line="350" w:lineRule="auto"/>
        <w:ind w:left="522" w:right="73" w:hanging="421"/>
        <w:rPr>
          <w:lang w:eastAsia="ja-JP"/>
        </w:rPr>
      </w:pPr>
      <w:r>
        <w:rPr>
          <w:lang w:eastAsia="ja-JP"/>
        </w:rPr>
        <w:t>２</w:t>
      </w:r>
      <w:r>
        <w:rPr>
          <w:lang w:eastAsia="ja-JP"/>
        </w:rPr>
        <w:tab/>
      </w:r>
      <w:r>
        <w:rPr>
          <w:spacing w:val="-10"/>
          <w:lang w:eastAsia="ja-JP"/>
        </w:rPr>
        <w:t>本コンソーシアムの会員は、自ら有する著作者人格権を、他の会員の著作物の利用に関</w:t>
      </w:r>
      <w:r>
        <w:rPr>
          <w:spacing w:val="-5"/>
          <w:lang w:eastAsia="ja-JP"/>
        </w:rPr>
        <w:t>し行使しないものとする。</w:t>
      </w:r>
    </w:p>
    <w:p w14:paraId="7750A174" w14:textId="5F2C3CD9" w:rsidR="006F5E2C" w:rsidRDefault="00955FA4" w:rsidP="00F82268">
      <w:pPr>
        <w:pStyle w:val="a3"/>
        <w:tabs>
          <w:tab w:val="left" w:pos="522"/>
        </w:tabs>
        <w:spacing w:before="29" w:line="348" w:lineRule="auto"/>
        <w:ind w:left="522" w:right="115" w:hanging="421"/>
        <w:rPr>
          <w:sz w:val="20"/>
          <w:lang w:eastAsia="ja-JP"/>
        </w:rPr>
      </w:pPr>
      <w:r>
        <w:rPr>
          <w:lang w:eastAsia="ja-JP"/>
        </w:rPr>
        <w:t>３</w:t>
      </w:r>
      <w:r>
        <w:rPr>
          <w:lang w:eastAsia="ja-JP"/>
        </w:rPr>
        <w:tab/>
        <w:t xml:space="preserve">被提供者が原著作物を改変あるいは翻案することによって得られた二次的著作物およ </w:t>
      </w:r>
      <w:r>
        <w:rPr>
          <w:spacing w:val="-9"/>
          <w:lang w:eastAsia="ja-JP"/>
        </w:rPr>
        <w:t>び当該二次的著作物に係る著作権は、</w:t>
      </w:r>
      <w:r>
        <w:rPr>
          <w:spacing w:val="-12"/>
          <w:lang w:eastAsia="ja-JP"/>
        </w:rPr>
        <w:t>原則として他の会員と共有</w:t>
      </w:r>
      <w:r w:rsidR="00F82268" w:rsidRPr="00F82268">
        <w:rPr>
          <w:rFonts w:hint="eastAsia"/>
          <w:spacing w:val="-12"/>
          <w:lang w:eastAsia="ja-JP"/>
        </w:rPr>
        <w:t>するものとし、提供者は、当該二次的著作物の利用に関し、被提供者に対して無償にて使用許諾するものとする。ただし、提供者が被提供者に対し、あらかじめ理由を付してかかる取り扱いから除外すべき旨を幹事会に申請し、かつ、被提供者の同意を得た原著作物についてはこの限りではない。</w:t>
      </w:r>
    </w:p>
    <w:p w14:paraId="6B4EE543" w14:textId="77777777" w:rsidR="006F5E2C" w:rsidRDefault="00955FA4">
      <w:pPr>
        <w:pStyle w:val="a3"/>
        <w:spacing w:before="165"/>
        <w:ind w:left="101"/>
        <w:jc w:val="both"/>
        <w:rPr>
          <w:lang w:eastAsia="ja-JP"/>
        </w:rPr>
      </w:pPr>
      <w:r>
        <w:rPr>
          <w:lang w:eastAsia="ja-JP"/>
        </w:rPr>
        <w:t>第 11 条（秘密保持）</w:t>
      </w:r>
    </w:p>
    <w:p w14:paraId="4CBE1A93" w14:textId="71B478B1" w:rsidR="00872AC6" w:rsidRPr="00872AC6" w:rsidRDefault="00FD2745" w:rsidP="00872AC6">
      <w:pPr>
        <w:pStyle w:val="a3"/>
        <w:spacing w:before="125" w:line="350" w:lineRule="auto"/>
        <w:ind w:left="101" w:right="114"/>
        <w:rPr>
          <w:lang w:eastAsia="ja-JP"/>
        </w:rPr>
      </w:pPr>
      <w:r>
        <w:rPr>
          <w:rFonts w:hint="eastAsia"/>
          <w:lang w:eastAsia="ja-JP"/>
        </w:rPr>
        <w:t>本運営規程において、「</w:t>
      </w:r>
      <w:r w:rsidR="00872AC6" w:rsidRPr="00872AC6">
        <w:rPr>
          <w:rFonts w:hint="eastAsia"/>
          <w:lang w:eastAsia="ja-JP"/>
        </w:rPr>
        <w:t>秘密情報</w:t>
      </w:r>
      <w:r>
        <w:rPr>
          <w:rFonts w:hint="eastAsia"/>
          <w:lang w:eastAsia="ja-JP"/>
        </w:rPr>
        <w:t>」</w:t>
      </w:r>
      <w:r w:rsidR="00872AC6" w:rsidRPr="00872AC6">
        <w:rPr>
          <w:rFonts w:hint="eastAsia"/>
          <w:lang w:eastAsia="ja-JP"/>
        </w:rPr>
        <w:t>とは、</w:t>
      </w:r>
      <w:r>
        <w:rPr>
          <w:lang w:eastAsia="ja-JP"/>
        </w:rPr>
        <w:t>本コンソーシアムの会員が、他の会員に対して</w:t>
      </w:r>
      <w:r w:rsidR="00872AC6" w:rsidRPr="00872AC6">
        <w:rPr>
          <w:rFonts w:hint="eastAsia"/>
          <w:lang w:eastAsia="ja-JP"/>
        </w:rPr>
        <w:t>開示する情報のうち、以下のいずれかに該当するものをいうものとする。</w:t>
      </w:r>
    </w:p>
    <w:p w14:paraId="340E4E26" w14:textId="77777777" w:rsidR="00872AC6" w:rsidRPr="00872AC6" w:rsidRDefault="00FD2745" w:rsidP="00872AC6">
      <w:pPr>
        <w:pStyle w:val="a3"/>
        <w:spacing w:before="125" w:line="350" w:lineRule="auto"/>
        <w:ind w:left="101" w:right="114"/>
        <w:rPr>
          <w:lang w:eastAsia="ja-JP"/>
        </w:rPr>
      </w:pPr>
      <w:r w:rsidRPr="00FD2745">
        <w:rPr>
          <w:lang w:eastAsia="ja-JP"/>
        </w:rPr>
        <w:t>(１)</w:t>
      </w:r>
      <w:r w:rsidR="00872AC6" w:rsidRPr="00872AC6">
        <w:rPr>
          <w:rFonts w:hint="eastAsia"/>
          <w:lang w:eastAsia="ja-JP"/>
        </w:rPr>
        <w:t>紙</w:t>
      </w:r>
      <w:r w:rsidR="00872AC6" w:rsidRPr="00872AC6">
        <w:rPr>
          <w:lang w:eastAsia="ja-JP"/>
        </w:rPr>
        <w:t>、電子媒体</w:t>
      </w:r>
      <w:r w:rsidR="00872AC6" w:rsidRPr="00872AC6">
        <w:rPr>
          <w:rFonts w:hint="eastAsia"/>
          <w:lang w:eastAsia="ja-JP"/>
        </w:rPr>
        <w:t>、サンプル等の交付、郵送、電子メールの送信等、提供の媒体および手</w:t>
      </w:r>
      <w:r w:rsidR="00872AC6" w:rsidRPr="00872AC6">
        <w:rPr>
          <w:rFonts w:hint="eastAsia"/>
          <w:lang w:eastAsia="ja-JP"/>
        </w:rPr>
        <w:lastRenderedPageBreak/>
        <w:t>段を問わず、秘密である旨を表示して</w:t>
      </w:r>
      <w:r w:rsidR="00872AC6" w:rsidRPr="00872AC6">
        <w:rPr>
          <w:lang w:eastAsia="ja-JP"/>
        </w:rPr>
        <w:t>提供されたもの。</w:t>
      </w:r>
    </w:p>
    <w:p w14:paraId="23D8CBFE" w14:textId="5A084437" w:rsidR="00FD2745" w:rsidRDefault="00FD2745" w:rsidP="00872AC6">
      <w:pPr>
        <w:pStyle w:val="a3"/>
        <w:spacing w:before="125" w:line="350" w:lineRule="auto"/>
        <w:ind w:left="101" w:right="114"/>
        <w:jc w:val="both"/>
        <w:rPr>
          <w:spacing w:val="-24"/>
          <w:lang w:eastAsia="ja-JP"/>
        </w:rPr>
      </w:pPr>
      <w:r w:rsidRPr="00FD2745">
        <w:rPr>
          <w:lang w:eastAsia="ja-JP"/>
        </w:rPr>
        <w:t>(２)</w:t>
      </w:r>
      <w:r w:rsidR="00872AC6" w:rsidRPr="00872AC6">
        <w:rPr>
          <w:lang w:eastAsia="ja-JP"/>
        </w:rPr>
        <w:t>口頭、デモンストレーション等、無形にて開示されたもののうち、</w:t>
      </w:r>
      <w:r w:rsidR="00872AC6" w:rsidRPr="00872AC6">
        <w:rPr>
          <w:rFonts w:hint="eastAsia"/>
          <w:lang w:eastAsia="ja-JP"/>
        </w:rPr>
        <w:t>開示者より</w:t>
      </w:r>
      <w:r w:rsidR="00872AC6" w:rsidRPr="00872AC6">
        <w:rPr>
          <w:lang w:eastAsia="ja-JP"/>
        </w:rPr>
        <w:t>開示の際に秘密である旨の表明があり、開示から３０日以内に</w:t>
      </w:r>
      <w:r w:rsidR="00872AC6" w:rsidRPr="00872AC6">
        <w:rPr>
          <w:rFonts w:hint="eastAsia"/>
          <w:lang w:eastAsia="ja-JP"/>
        </w:rPr>
        <w:t>その</w:t>
      </w:r>
      <w:r w:rsidR="00872AC6" w:rsidRPr="00872AC6">
        <w:rPr>
          <w:lang w:eastAsia="ja-JP"/>
        </w:rPr>
        <w:t>内容を簡明に表す文書</w:t>
      </w:r>
      <w:r w:rsidR="00872AC6" w:rsidRPr="00872AC6">
        <w:rPr>
          <w:rFonts w:hint="eastAsia"/>
          <w:lang w:eastAsia="ja-JP"/>
        </w:rPr>
        <w:t>とともに</w:t>
      </w:r>
      <w:r w:rsidR="00872AC6" w:rsidRPr="00872AC6">
        <w:rPr>
          <w:lang w:eastAsia="ja-JP"/>
        </w:rPr>
        <w:t>秘密情報である</w:t>
      </w:r>
      <w:r w:rsidR="00872AC6" w:rsidRPr="00872AC6">
        <w:rPr>
          <w:rFonts w:hint="eastAsia"/>
          <w:lang w:eastAsia="ja-JP"/>
        </w:rPr>
        <w:t>旨が受領者</w:t>
      </w:r>
      <w:r w:rsidR="00872AC6" w:rsidRPr="00872AC6">
        <w:rPr>
          <w:lang w:eastAsia="ja-JP"/>
        </w:rPr>
        <w:t>に通知</w:t>
      </w:r>
      <w:r w:rsidR="00872AC6" w:rsidRPr="00872AC6">
        <w:rPr>
          <w:rFonts w:hint="eastAsia"/>
          <w:lang w:eastAsia="ja-JP"/>
        </w:rPr>
        <w:t>されたもの</w:t>
      </w:r>
      <w:r w:rsidR="00872AC6" w:rsidRPr="00872AC6">
        <w:rPr>
          <w:lang w:eastAsia="ja-JP"/>
        </w:rPr>
        <w:t>。</w:t>
      </w:r>
    </w:p>
    <w:p w14:paraId="4F168DFD" w14:textId="7486B131" w:rsidR="006F5E2C" w:rsidRDefault="00FD2745" w:rsidP="00872AC6">
      <w:pPr>
        <w:pStyle w:val="a3"/>
        <w:spacing w:before="125" w:line="350" w:lineRule="auto"/>
        <w:ind w:left="101" w:right="114"/>
        <w:jc w:val="both"/>
        <w:rPr>
          <w:lang w:eastAsia="ja-JP"/>
        </w:rPr>
      </w:pPr>
      <w:r>
        <w:rPr>
          <w:rFonts w:hint="eastAsia"/>
          <w:spacing w:val="-24"/>
          <w:lang w:eastAsia="ja-JP"/>
        </w:rPr>
        <w:t>２　会員は、</w:t>
      </w:r>
      <w:r w:rsidR="00955FA4">
        <w:rPr>
          <w:spacing w:val="-6"/>
          <w:lang w:eastAsia="ja-JP"/>
        </w:rPr>
        <w:t>秘密</w:t>
      </w:r>
      <w:r w:rsidR="00955FA4">
        <w:rPr>
          <w:lang w:eastAsia="ja-JP"/>
        </w:rPr>
        <w:t>情報を第三者に開示または漏洩しないものとする。ただし、次のいずれかに該当する場合</w:t>
      </w:r>
      <w:r w:rsidR="00955FA4">
        <w:rPr>
          <w:spacing w:val="-3"/>
          <w:lang w:eastAsia="ja-JP"/>
        </w:rPr>
        <w:t>は、この限りではない。</w:t>
      </w:r>
    </w:p>
    <w:p w14:paraId="2F51FE06" w14:textId="77777777" w:rsidR="006F5E2C" w:rsidRDefault="00955FA4">
      <w:pPr>
        <w:pStyle w:val="a3"/>
        <w:spacing w:before="26"/>
        <w:ind w:left="101"/>
        <w:jc w:val="both"/>
        <w:rPr>
          <w:lang w:eastAsia="ja-JP"/>
        </w:rPr>
      </w:pPr>
      <w:r>
        <w:rPr>
          <w:lang w:eastAsia="ja-JP"/>
        </w:rPr>
        <w:t>(１)開示を受けた際、当該秘密情報が既に公知であった場合</w:t>
      </w:r>
    </w:p>
    <w:p w14:paraId="778B0138" w14:textId="77777777" w:rsidR="006F5E2C" w:rsidRDefault="00955FA4">
      <w:pPr>
        <w:pStyle w:val="a3"/>
        <w:spacing w:before="125"/>
        <w:ind w:left="101"/>
        <w:jc w:val="both"/>
        <w:rPr>
          <w:lang w:eastAsia="ja-JP"/>
        </w:rPr>
      </w:pPr>
      <w:r>
        <w:rPr>
          <w:lang w:eastAsia="ja-JP"/>
        </w:rPr>
        <w:t>(２)開示を受けた後、秘密保持義務者の責によらずに当該秘密情報が公知となった場合</w:t>
      </w:r>
    </w:p>
    <w:p w14:paraId="2ABAC7C4" w14:textId="77777777" w:rsidR="006F5E2C" w:rsidRDefault="00955FA4">
      <w:pPr>
        <w:pStyle w:val="a3"/>
        <w:spacing w:before="125"/>
        <w:ind w:left="101"/>
        <w:jc w:val="both"/>
        <w:rPr>
          <w:lang w:eastAsia="ja-JP"/>
        </w:rPr>
      </w:pPr>
      <w:r>
        <w:rPr>
          <w:lang w:eastAsia="ja-JP"/>
        </w:rPr>
        <w:t>(３)正当な権限を有する第三者から秘密保持の義務を伴わずに知得した場合</w:t>
      </w:r>
    </w:p>
    <w:p w14:paraId="5A8E7EF2" w14:textId="77777777" w:rsidR="006F5E2C" w:rsidRDefault="00955FA4">
      <w:pPr>
        <w:pStyle w:val="a3"/>
        <w:spacing w:before="123"/>
        <w:ind w:left="101"/>
        <w:jc w:val="both"/>
        <w:rPr>
          <w:lang w:eastAsia="ja-JP"/>
        </w:rPr>
      </w:pPr>
      <w:r>
        <w:rPr>
          <w:lang w:eastAsia="ja-JP"/>
        </w:rPr>
        <w:t>(４)法令、規則、行政庁の命令により、当該秘密情報の開示が義務付けられた場合</w:t>
      </w:r>
    </w:p>
    <w:p w14:paraId="27A8F477" w14:textId="33870F25" w:rsidR="006F5E2C" w:rsidRDefault="00CA3FD8">
      <w:pPr>
        <w:pStyle w:val="a3"/>
        <w:spacing w:before="126"/>
        <w:ind w:left="101"/>
        <w:jc w:val="both"/>
        <w:rPr>
          <w:lang w:eastAsia="ja-JP"/>
        </w:rPr>
      </w:pPr>
      <w:r>
        <w:rPr>
          <w:rFonts w:hint="eastAsia"/>
          <w:lang w:eastAsia="ja-JP"/>
        </w:rPr>
        <w:t>３</w:t>
      </w:r>
      <w:r w:rsidR="00955FA4">
        <w:rPr>
          <w:lang w:eastAsia="ja-JP"/>
        </w:rPr>
        <w:t xml:space="preserve">  会員は、本研究以外の目的で秘密情報を複製、翻案その他の使用をしないものとする。</w:t>
      </w:r>
    </w:p>
    <w:p w14:paraId="17B737F3" w14:textId="5F5CC732" w:rsidR="006F5E2C" w:rsidRDefault="00CA3FD8">
      <w:pPr>
        <w:pStyle w:val="a3"/>
        <w:spacing w:before="126"/>
        <w:ind w:left="101"/>
        <w:jc w:val="both"/>
        <w:rPr>
          <w:lang w:eastAsia="ja-JP"/>
        </w:rPr>
      </w:pPr>
      <w:r>
        <w:rPr>
          <w:rFonts w:hint="eastAsia"/>
          <w:lang w:eastAsia="ja-JP"/>
        </w:rPr>
        <w:t>４</w:t>
      </w:r>
      <w:r w:rsidR="00955FA4">
        <w:rPr>
          <w:lang w:eastAsia="ja-JP"/>
        </w:rPr>
        <w:t xml:space="preserve">  会員は、個人情報保護法に沿って個人情報を取り扱わなければならない。</w:t>
      </w:r>
    </w:p>
    <w:p w14:paraId="3003B700" w14:textId="298DBEE8" w:rsidR="00562ECD" w:rsidRPr="002B7587" w:rsidRDefault="00562ECD" w:rsidP="00562ECD">
      <w:pPr>
        <w:pStyle w:val="a3"/>
        <w:spacing w:before="126" w:line="350" w:lineRule="auto"/>
        <w:ind w:left="102"/>
        <w:jc w:val="both"/>
        <w:rPr>
          <w:lang w:eastAsia="ja-JP"/>
        </w:rPr>
      </w:pPr>
      <w:r w:rsidRPr="002B7587">
        <w:rPr>
          <w:rFonts w:hint="eastAsia"/>
          <w:lang w:eastAsia="ja-JP"/>
        </w:rPr>
        <w:t>５　会員が退会した場合もしくは本コンソーシアムが解散した場合、遅滞なく開示者より開示された秘密情報およびその複製物を返却するかまたは廃棄するものとする。</w:t>
      </w:r>
      <w:r>
        <w:rPr>
          <w:rFonts w:hint="eastAsia"/>
          <w:lang w:eastAsia="ja-JP"/>
        </w:rPr>
        <w:t>また、</w:t>
      </w:r>
      <w:r w:rsidRPr="00727723">
        <w:rPr>
          <w:rFonts w:hint="eastAsia"/>
          <w:lang w:eastAsia="ja-JP"/>
        </w:rPr>
        <w:t>本条第２項および第３項の義務は、</w:t>
      </w:r>
      <w:r>
        <w:rPr>
          <w:rFonts w:hint="eastAsia"/>
          <w:lang w:eastAsia="ja-JP"/>
        </w:rPr>
        <w:t>退会もしくは本コンソーシアムの解散後も3年間有効に存続する。</w:t>
      </w:r>
    </w:p>
    <w:p w14:paraId="08FCE26E" w14:textId="77777777" w:rsidR="006F5E2C" w:rsidRPr="00562ECD" w:rsidRDefault="006F5E2C">
      <w:pPr>
        <w:pStyle w:val="a3"/>
        <w:rPr>
          <w:sz w:val="20"/>
          <w:lang w:eastAsia="ja-JP"/>
        </w:rPr>
      </w:pPr>
    </w:p>
    <w:p w14:paraId="68875D5E" w14:textId="77777777" w:rsidR="006F5E2C" w:rsidRDefault="006F5E2C">
      <w:pPr>
        <w:pStyle w:val="a3"/>
        <w:rPr>
          <w:sz w:val="20"/>
          <w:lang w:eastAsia="ja-JP"/>
        </w:rPr>
      </w:pPr>
    </w:p>
    <w:p w14:paraId="7117A4BF" w14:textId="54790C0D" w:rsidR="00F82268" w:rsidRDefault="00955FA4" w:rsidP="00F82268">
      <w:pPr>
        <w:pStyle w:val="a3"/>
        <w:spacing w:before="1"/>
        <w:ind w:left="101"/>
        <w:jc w:val="both"/>
        <w:rPr>
          <w:lang w:eastAsia="ja-JP"/>
        </w:rPr>
      </w:pPr>
      <w:r>
        <w:rPr>
          <w:lang w:eastAsia="ja-JP"/>
        </w:rPr>
        <w:t>附 則</w:t>
      </w:r>
    </w:p>
    <w:p w14:paraId="43CC3F9C" w14:textId="49B0BDB5" w:rsidR="00280F2E" w:rsidRDefault="00280F2E">
      <w:pPr>
        <w:pStyle w:val="a3"/>
        <w:spacing w:before="126"/>
        <w:ind w:left="101"/>
        <w:jc w:val="both"/>
        <w:rPr>
          <w:lang w:eastAsia="ja-JP"/>
        </w:rPr>
      </w:pPr>
      <w:r>
        <w:rPr>
          <w:rFonts w:hint="eastAsia"/>
          <w:lang w:eastAsia="ja-JP"/>
        </w:rPr>
        <w:t xml:space="preserve">1　</w:t>
      </w:r>
      <w:r>
        <w:rPr>
          <w:lang w:eastAsia="ja-JP"/>
        </w:rPr>
        <w:t>この規程は、2017 年 6 月 20 日から施行する。</w:t>
      </w:r>
    </w:p>
    <w:p w14:paraId="58FEECBA" w14:textId="455F4B07" w:rsidR="006F5E2C" w:rsidRDefault="00280F2E">
      <w:pPr>
        <w:pStyle w:val="a3"/>
        <w:spacing w:before="126"/>
        <w:ind w:left="101"/>
        <w:jc w:val="both"/>
        <w:rPr>
          <w:lang w:eastAsia="ja-JP"/>
        </w:rPr>
      </w:pPr>
      <w:r>
        <w:rPr>
          <w:rFonts w:hint="eastAsia"/>
          <w:lang w:eastAsia="ja-JP"/>
        </w:rPr>
        <w:t xml:space="preserve">2　</w:t>
      </w:r>
      <w:r w:rsidRPr="00280F2E">
        <w:rPr>
          <w:rFonts w:hint="eastAsia"/>
          <w:lang w:eastAsia="ja-JP"/>
        </w:rPr>
        <w:t>この規程の一部を改訂し、</w:t>
      </w:r>
      <w:r w:rsidRPr="00280F2E">
        <w:rPr>
          <w:lang w:eastAsia="ja-JP"/>
        </w:rPr>
        <w:t xml:space="preserve"> 2018年4月1日から実施する。</w:t>
      </w:r>
    </w:p>
    <w:p w14:paraId="3050538A" w14:textId="1F3E3A3B" w:rsidR="00BC35C0" w:rsidRDefault="00BC35C0" w:rsidP="00BC35C0">
      <w:pPr>
        <w:pStyle w:val="a3"/>
        <w:spacing w:before="126"/>
        <w:ind w:left="101"/>
        <w:jc w:val="both"/>
        <w:rPr>
          <w:lang w:eastAsia="ja-JP"/>
        </w:rPr>
      </w:pPr>
      <w:r>
        <w:rPr>
          <w:rFonts w:hint="eastAsia"/>
          <w:lang w:eastAsia="ja-JP"/>
        </w:rPr>
        <w:t xml:space="preserve">3　</w:t>
      </w:r>
      <w:r w:rsidRPr="00280F2E">
        <w:rPr>
          <w:rFonts w:hint="eastAsia"/>
          <w:lang w:eastAsia="ja-JP"/>
        </w:rPr>
        <w:t>この規程の一部を改訂し、</w:t>
      </w:r>
      <w:r w:rsidRPr="00280F2E">
        <w:rPr>
          <w:lang w:eastAsia="ja-JP"/>
        </w:rPr>
        <w:t xml:space="preserve"> 20</w:t>
      </w:r>
      <w:r>
        <w:rPr>
          <w:lang w:eastAsia="ja-JP"/>
        </w:rPr>
        <w:t>20</w:t>
      </w:r>
      <w:r w:rsidRPr="00280F2E">
        <w:rPr>
          <w:lang w:eastAsia="ja-JP"/>
        </w:rPr>
        <w:t>年</w:t>
      </w:r>
      <w:r>
        <w:rPr>
          <w:lang w:eastAsia="ja-JP"/>
        </w:rPr>
        <w:t>3</w:t>
      </w:r>
      <w:r w:rsidRPr="00280F2E">
        <w:rPr>
          <w:lang w:eastAsia="ja-JP"/>
        </w:rPr>
        <w:t>月1</w:t>
      </w:r>
      <w:r>
        <w:rPr>
          <w:lang w:eastAsia="ja-JP"/>
        </w:rPr>
        <w:t>1</w:t>
      </w:r>
      <w:r w:rsidRPr="00280F2E">
        <w:rPr>
          <w:lang w:eastAsia="ja-JP"/>
        </w:rPr>
        <w:t>日から実施する。</w:t>
      </w:r>
    </w:p>
    <w:p w14:paraId="73CE3411" w14:textId="77777777" w:rsidR="00BC35C0" w:rsidRPr="00BC35C0" w:rsidRDefault="00BC35C0">
      <w:pPr>
        <w:pStyle w:val="a3"/>
        <w:spacing w:before="126"/>
        <w:ind w:left="101"/>
        <w:jc w:val="both"/>
        <w:rPr>
          <w:lang w:eastAsia="ja-JP"/>
        </w:rPr>
      </w:pPr>
    </w:p>
    <w:p w14:paraId="3C7F5B8F" w14:textId="0966063F" w:rsidR="00F82268" w:rsidRDefault="00F82268" w:rsidP="00F82268">
      <w:pPr>
        <w:pStyle w:val="a3"/>
        <w:spacing w:before="126"/>
        <w:ind w:left="101"/>
        <w:jc w:val="both"/>
        <w:rPr>
          <w:lang w:eastAsia="ja-JP"/>
        </w:rPr>
      </w:pPr>
    </w:p>
    <w:p w14:paraId="6D3A5FAA" w14:textId="1E84DC8B" w:rsidR="00F82268" w:rsidRDefault="00F82268">
      <w:pPr>
        <w:pStyle w:val="a3"/>
        <w:spacing w:before="126"/>
        <w:ind w:left="101"/>
        <w:jc w:val="both"/>
        <w:rPr>
          <w:lang w:eastAsia="ja-JP"/>
        </w:rPr>
      </w:pPr>
    </w:p>
    <w:p w14:paraId="46CC80B9" w14:textId="77777777" w:rsidR="006F5E2C" w:rsidRDefault="006F5E2C">
      <w:pPr>
        <w:jc w:val="both"/>
        <w:rPr>
          <w:lang w:eastAsia="ja-JP"/>
        </w:rPr>
      </w:pPr>
    </w:p>
    <w:p w14:paraId="34256244" w14:textId="77777777" w:rsidR="00F82268" w:rsidRDefault="00F82268">
      <w:pPr>
        <w:jc w:val="both"/>
        <w:rPr>
          <w:lang w:eastAsia="ja-JP"/>
        </w:rPr>
        <w:sectPr w:rsidR="00F82268" w:rsidSect="00F82268">
          <w:pgSz w:w="11900" w:h="16850"/>
          <w:pgMar w:top="1600" w:right="1580" w:bottom="709" w:left="1600" w:header="720" w:footer="720" w:gutter="0"/>
          <w:cols w:space="720"/>
        </w:sectPr>
      </w:pPr>
    </w:p>
    <w:p w14:paraId="2E731B4A" w14:textId="77777777" w:rsidR="006F5E2C" w:rsidRDefault="006F5E2C">
      <w:pPr>
        <w:pStyle w:val="a3"/>
        <w:spacing w:before="12"/>
        <w:rPr>
          <w:sz w:val="28"/>
          <w:lang w:eastAsia="ja-JP"/>
        </w:rPr>
      </w:pPr>
    </w:p>
    <w:p w14:paraId="10EAB6CF" w14:textId="77777777" w:rsidR="006F5E2C" w:rsidRDefault="00955FA4">
      <w:pPr>
        <w:pStyle w:val="a3"/>
        <w:spacing w:before="36"/>
        <w:ind w:left="121"/>
      </w:pPr>
      <w:r>
        <w:t>（</w:t>
      </w:r>
      <w:proofErr w:type="spellStart"/>
      <w:r>
        <w:t>別表</w:t>
      </w:r>
      <w:proofErr w:type="spellEnd"/>
      <w:r>
        <w:t xml:space="preserve"> 1）</w:t>
      </w:r>
    </w:p>
    <w:p w14:paraId="1773DD45" w14:textId="77777777" w:rsidR="006F5E2C" w:rsidRDefault="006F5E2C">
      <w:pPr>
        <w:pStyle w:val="a3"/>
        <w:spacing w:before="3"/>
        <w:rPr>
          <w:sz w:val="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7"/>
        <w:gridCol w:w="2717"/>
        <w:gridCol w:w="2700"/>
      </w:tblGrid>
      <w:tr w:rsidR="006F5E2C" w14:paraId="0CB03569" w14:textId="77777777">
        <w:trPr>
          <w:trHeight w:hRule="exact" w:val="446"/>
        </w:trPr>
        <w:tc>
          <w:tcPr>
            <w:tcW w:w="3077" w:type="dxa"/>
            <w:tcBorders>
              <w:top w:val="nil"/>
              <w:left w:val="nil"/>
            </w:tcBorders>
          </w:tcPr>
          <w:p w14:paraId="52FC7123" w14:textId="77777777" w:rsidR="006F5E2C" w:rsidRDefault="006F5E2C"/>
        </w:tc>
        <w:tc>
          <w:tcPr>
            <w:tcW w:w="2717" w:type="dxa"/>
          </w:tcPr>
          <w:p w14:paraId="398D3A16" w14:textId="77777777" w:rsidR="006F5E2C" w:rsidRDefault="00955FA4" w:rsidP="00D10851">
            <w:pPr>
              <w:pStyle w:val="TableParagraph"/>
              <w:ind w:left="100"/>
              <w:jc w:val="center"/>
              <w:rPr>
                <w:sz w:val="21"/>
              </w:rPr>
            </w:pPr>
            <w:proofErr w:type="spellStart"/>
            <w:r>
              <w:rPr>
                <w:sz w:val="21"/>
              </w:rPr>
              <w:t>幹事会員</w:t>
            </w:r>
            <w:proofErr w:type="spellEnd"/>
          </w:p>
        </w:tc>
        <w:tc>
          <w:tcPr>
            <w:tcW w:w="2700" w:type="dxa"/>
          </w:tcPr>
          <w:p w14:paraId="79FA26D2" w14:textId="77777777" w:rsidR="006F5E2C" w:rsidRDefault="00955FA4" w:rsidP="00D10851">
            <w:pPr>
              <w:pStyle w:val="TableParagraph"/>
              <w:ind w:left="103"/>
              <w:jc w:val="center"/>
              <w:rPr>
                <w:sz w:val="21"/>
              </w:rPr>
            </w:pPr>
            <w:proofErr w:type="spellStart"/>
            <w:r>
              <w:rPr>
                <w:sz w:val="21"/>
              </w:rPr>
              <w:t>賛助会員</w:t>
            </w:r>
            <w:proofErr w:type="spellEnd"/>
          </w:p>
        </w:tc>
      </w:tr>
      <w:tr w:rsidR="006F5E2C" w14:paraId="2690599B" w14:textId="77777777">
        <w:trPr>
          <w:trHeight w:hRule="exact" w:val="1610"/>
        </w:trPr>
        <w:tc>
          <w:tcPr>
            <w:tcW w:w="3077" w:type="dxa"/>
          </w:tcPr>
          <w:p w14:paraId="5EFDBF01" w14:textId="77777777" w:rsidR="006F5E2C" w:rsidRDefault="00955FA4">
            <w:pPr>
              <w:pStyle w:val="TableParagraph"/>
              <w:spacing w:before="33" w:line="348" w:lineRule="auto"/>
              <w:ind w:left="103" w:right="2119"/>
              <w:jc w:val="both"/>
              <w:rPr>
                <w:sz w:val="21"/>
              </w:rPr>
            </w:pPr>
            <w:proofErr w:type="spellStart"/>
            <w:r>
              <w:rPr>
                <w:sz w:val="21"/>
              </w:rPr>
              <w:t>学術機関研究機関行政機関</w:t>
            </w:r>
            <w:proofErr w:type="spellEnd"/>
          </w:p>
          <w:p w14:paraId="47957C9A" w14:textId="77777777" w:rsidR="006F5E2C" w:rsidRDefault="00955FA4">
            <w:pPr>
              <w:pStyle w:val="TableParagraph"/>
              <w:spacing w:before="31"/>
              <w:ind w:left="103"/>
              <w:jc w:val="both"/>
              <w:rPr>
                <w:sz w:val="21"/>
              </w:rPr>
            </w:pPr>
            <w:proofErr w:type="spellStart"/>
            <w:r>
              <w:rPr>
                <w:sz w:val="21"/>
              </w:rPr>
              <w:t>非営利法人等</w:t>
            </w:r>
            <w:proofErr w:type="spellEnd"/>
          </w:p>
        </w:tc>
        <w:tc>
          <w:tcPr>
            <w:tcW w:w="2717" w:type="dxa"/>
          </w:tcPr>
          <w:p w14:paraId="4CDA07B8" w14:textId="77777777" w:rsidR="006F5E2C" w:rsidRDefault="006F5E2C">
            <w:pPr>
              <w:pStyle w:val="TableParagraph"/>
              <w:spacing w:before="9"/>
              <w:rPr>
                <w:sz w:val="17"/>
                <w:lang w:eastAsia="ja-JP"/>
              </w:rPr>
            </w:pPr>
          </w:p>
          <w:p w14:paraId="63670DA3" w14:textId="77777777" w:rsidR="006F5E2C" w:rsidRDefault="00955FA4">
            <w:pPr>
              <w:pStyle w:val="TableParagraph"/>
              <w:spacing w:before="1"/>
              <w:ind w:left="249" w:right="249"/>
              <w:jc w:val="center"/>
              <w:rPr>
                <w:sz w:val="21"/>
                <w:lang w:eastAsia="ja-JP"/>
              </w:rPr>
            </w:pPr>
            <w:r>
              <w:rPr>
                <w:sz w:val="21"/>
                <w:lang w:eastAsia="ja-JP"/>
              </w:rPr>
              <w:t>1 口以上/年</w:t>
            </w:r>
          </w:p>
          <w:p w14:paraId="0383005C" w14:textId="77777777" w:rsidR="006F5E2C" w:rsidRDefault="00955FA4">
            <w:pPr>
              <w:pStyle w:val="TableParagraph"/>
              <w:spacing w:before="149" w:line="405" w:lineRule="auto"/>
              <w:ind w:left="249" w:right="250"/>
              <w:jc w:val="center"/>
              <w:rPr>
                <w:sz w:val="18"/>
              </w:rPr>
            </w:pPr>
            <w:r>
              <w:rPr>
                <w:sz w:val="18"/>
                <w:lang w:eastAsia="ja-JP"/>
              </w:rPr>
              <w:t>（1</w:t>
            </w:r>
            <w:r>
              <w:rPr>
                <w:spacing w:val="-23"/>
                <w:sz w:val="18"/>
                <w:lang w:eastAsia="ja-JP"/>
              </w:rPr>
              <w:t xml:space="preserve"> 口は </w:t>
            </w:r>
            <w:r>
              <w:rPr>
                <w:sz w:val="18"/>
                <w:lang w:eastAsia="ja-JP"/>
              </w:rPr>
              <w:t>10</w:t>
            </w:r>
            <w:r>
              <w:rPr>
                <w:spacing w:val="-7"/>
                <w:sz w:val="18"/>
                <w:lang w:eastAsia="ja-JP"/>
              </w:rPr>
              <w:t xml:space="preserve"> 万円(税別)とす</w:t>
            </w:r>
            <w:r>
              <w:rPr>
                <w:spacing w:val="-50"/>
                <w:sz w:val="18"/>
                <w:lang w:eastAsia="ja-JP"/>
              </w:rPr>
              <w:t>る。</w:t>
            </w:r>
            <w:r>
              <w:rPr>
                <w:spacing w:val="-92"/>
                <w:sz w:val="18"/>
              </w:rPr>
              <w:t>）</w:t>
            </w:r>
          </w:p>
        </w:tc>
        <w:tc>
          <w:tcPr>
            <w:tcW w:w="2700" w:type="dxa"/>
          </w:tcPr>
          <w:p w14:paraId="53B16A3D" w14:textId="77777777" w:rsidR="006F5E2C" w:rsidRDefault="006F5E2C">
            <w:pPr>
              <w:pStyle w:val="TableParagraph"/>
              <w:spacing w:before="0"/>
              <w:rPr>
                <w:sz w:val="20"/>
              </w:rPr>
            </w:pPr>
          </w:p>
          <w:p w14:paraId="5845956D" w14:textId="77777777" w:rsidR="006F5E2C" w:rsidRDefault="006F5E2C">
            <w:pPr>
              <w:pStyle w:val="TableParagraph"/>
              <w:spacing w:before="4"/>
              <w:rPr>
                <w:sz w:val="28"/>
              </w:rPr>
            </w:pPr>
          </w:p>
          <w:p w14:paraId="00826CB0" w14:textId="77777777" w:rsidR="006F5E2C" w:rsidRDefault="00955FA4">
            <w:pPr>
              <w:pStyle w:val="TableParagraph"/>
              <w:spacing w:before="1"/>
              <w:jc w:val="center"/>
              <w:rPr>
                <w:sz w:val="21"/>
              </w:rPr>
            </w:pPr>
            <w:r>
              <w:rPr>
                <w:sz w:val="21"/>
              </w:rPr>
              <w:t>-</w:t>
            </w:r>
          </w:p>
        </w:tc>
      </w:tr>
      <w:tr w:rsidR="006F5E2C" w14:paraId="04EBF2DA" w14:textId="77777777">
        <w:trPr>
          <w:trHeight w:hRule="exact" w:val="811"/>
        </w:trPr>
        <w:tc>
          <w:tcPr>
            <w:tcW w:w="3077" w:type="dxa"/>
          </w:tcPr>
          <w:p w14:paraId="0ACA5599" w14:textId="77777777" w:rsidR="006F5E2C" w:rsidRDefault="00955FA4">
            <w:pPr>
              <w:pStyle w:val="TableParagraph"/>
              <w:ind w:left="103"/>
              <w:rPr>
                <w:sz w:val="21"/>
                <w:lang w:eastAsia="ja-JP"/>
              </w:rPr>
            </w:pPr>
            <w:r>
              <w:rPr>
                <w:sz w:val="21"/>
                <w:lang w:eastAsia="ja-JP"/>
              </w:rPr>
              <w:t>金融機関</w:t>
            </w:r>
          </w:p>
          <w:p w14:paraId="0F4275BC" w14:textId="77777777" w:rsidR="006F5E2C" w:rsidRDefault="00955FA4">
            <w:pPr>
              <w:pStyle w:val="TableParagraph"/>
              <w:spacing w:before="125"/>
              <w:ind w:left="103"/>
              <w:rPr>
                <w:sz w:val="21"/>
                <w:lang w:eastAsia="ja-JP"/>
              </w:rPr>
            </w:pPr>
            <w:r>
              <w:rPr>
                <w:sz w:val="21"/>
                <w:lang w:eastAsia="ja-JP"/>
              </w:rPr>
              <w:t>第 3 セクター法人等</w:t>
            </w:r>
          </w:p>
        </w:tc>
        <w:tc>
          <w:tcPr>
            <w:tcW w:w="2717" w:type="dxa"/>
          </w:tcPr>
          <w:p w14:paraId="03AB7066" w14:textId="77777777" w:rsidR="006F5E2C" w:rsidRDefault="006F5E2C">
            <w:pPr>
              <w:pStyle w:val="TableParagraph"/>
              <w:spacing w:before="9"/>
              <w:rPr>
                <w:sz w:val="17"/>
                <w:lang w:eastAsia="ja-JP"/>
              </w:rPr>
            </w:pPr>
          </w:p>
          <w:p w14:paraId="6303B2A3" w14:textId="77777777" w:rsidR="006F5E2C" w:rsidRDefault="00955FA4">
            <w:pPr>
              <w:pStyle w:val="TableParagraph"/>
              <w:spacing w:before="1"/>
              <w:ind w:right="799"/>
              <w:jc w:val="right"/>
              <w:rPr>
                <w:sz w:val="21"/>
              </w:rPr>
            </w:pPr>
            <w:r>
              <w:rPr>
                <w:sz w:val="21"/>
              </w:rPr>
              <w:t xml:space="preserve">9 </w:t>
            </w:r>
            <w:proofErr w:type="spellStart"/>
            <w:r>
              <w:rPr>
                <w:sz w:val="21"/>
              </w:rPr>
              <w:t>口以上</w:t>
            </w:r>
            <w:proofErr w:type="spellEnd"/>
            <w:r>
              <w:rPr>
                <w:sz w:val="21"/>
              </w:rPr>
              <w:t>/年</w:t>
            </w:r>
          </w:p>
        </w:tc>
        <w:tc>
          <w:tcPr>
            <w:tcW w:w="2700" w:type="dxa"/>
          </w:tcPr>
          <w:p w14:paraId="1FE8F48A" w14:textId="77777777" w:rsidR="006F5E2C" w:rsidRDefault="006F5E2C">
            <w:pPr>
              <w:pStyle w:val="TableParagraph"/>
              <w:spacing w:before="9"/>
              <w:rPr>
                <w:sz w:val="17"/>
              </w:rPr>
            </w:pPr>
          </w:p>
          <w:p w14:paraId="46FA21B5" w14:textId="77777777" w:rsidR="006F5E2C" w:rsidRDefault="00955FA4">
            <w:pPr>
              <w:pStyle w:val="TableParagraph"/>
              <w:spacing w:before="1"/>
              <w:ind w:right="789"/>
              <w:jc w:val="right"/>
              <w:rPr>
                <w:sz w:val="21"/>
              </w:rPr>
            </w:pPr>
            <w:r>
              <w:rPr>
                <w:sz w:val="21"/>
              </w:rPr>
              <w:t xml:space="preserve">3 </w:t>
            </w:r>
            <w:proofErr w:type="spellStart"/>
            <w:r>
              <w:rPr>
                <w:sz w:val="21"/>
              </w:rPr>
              <w:t>口以上</w:t>
            </w:r>
            <w:proofErr w:type="spellEnd"/>
            <w:r>
              <w:rPr>
                <w:sz w:val="21"/>
              </w:rPr>
              <w:t>/年</w:t>
            </w:r>
          </w:p>
        </w:tc>
      </w:tr>
      <w:tr w:rsidR="006F5E2C" w14:paraId="28C89837" w14:textId="77777777">
        <w:trPr>
          <w:trHeight w:hRule="exact" w:val="410"/>
        </w:trPr>
        <w:tc>
          <w:tcPr>
            <w:tcW w:w="3077" w:type="dxa"/>
          </w:tcPr>
          <w:p w14:paraId="6AD03D5B" w14:textId="77777777" w:rsidR="006F5E2C" w:rsidRDefault="00955FA4">
            <w:pPr>
              <w:pStyle w:val="TableParagraph"/>
              <w:ind w:left="103"/>
              <w:rPr>
                <w:sz w:val="21"/>
              </w:rPr>
            </w:pPr>
            <w:proofErr w:type="spellStart"/>
            <w:r>
              <w:rPr>
                <w:sz w:val="21"/>
              </w:rPr>
              <w:t>上記以外の民間企業</w:t>
            </w:r>
            <w:proofErr w:type="spellEnd"/>
          </w:p>
        </w:tc>
        <w:tc>
          <w:tcPr>
            <w:tcW w:w="2717" w:type="dxa"/>
          </w:tcPr>
          <w:p w14:paraId="51CEB3AF" w14:textId="77777777" w:rsidR="006F5E2C" w:rsidRDefault="00955FA4">
            <w:pPr>
              <w:pStyle w:val="TableParagraph"/>
              <w:ind w:right="746"/>
              <w:jc w:val="right"/>
              <w:rPr>
                <w:sz w:val="21"/>
              </w:rPr>
            </w:pPr>
            <w:r>
              <w:rPr>
                <w:sz w:val="21"/>
              </w:rPr>
              <w:t xml:space="preserve">30 </w:t>
            </w:r>
            <w:proofErr w:type="spellStart"/>
            <w:r>
              <w:rPr>
                <w:sz w:val="21"/>
              </w:rPr>
              <w:t>口以上</w:t>
            </w:r>
            <w:proofErr w:type="spellEnd"/>
            <w:r>
              <w:rPr>
                <w:sz w:val="21"/>
              </w:rPr>
              <w:t>/年</w:t>
            </w:r>
          </w:p>
        </w:tc>
        <w:tc>
          <w:tcPr>
            <w:tcW w:w="2700" w:type="dxa"/>
          </w:tcPr>
          <w:p w14:paraId="01D02282" w14:textId="77777777" w:rsidR="006F5E2C" w:rsidRDefault="00955FA4">
            <w:pPr>
              <w:pStyle w:val="TableParagraph"/>
              <w:ind w:right="789"/>
              <w:jc w:val="right"/>
              <w:rPr>
                <w:sz w:val="21"/>
              </w:rPr>
            </w:pPr>
            <w:r>
              <w:rPr>
                <w:sz w:val="21"/>
              </w:rPr>
              <w:t xml:space="preserve">3 </w:t>
            </w:r>
            <w:proofErr w:type="spellStart"/>
            <w:r>
              <w:rPr>
                <w:sz w:val="21"/>
              </w:rPr>
              <w:t>口以上</w:t>
            </w:r>
            <w:proofErr w:type="spellEnd"/>
            <w:r>
              <w:rPr>
                <w:sz w:val="21"/>
              </w:rPr>
              <w:t>/年</w:t>
            </w:r>
          </w:p>
        </w:tc>
      </w:tr>
      <w:tr w:rsidR="006F5E2C" w14:paraId="1767D963" w14:textId="77777777" w:rsidTr="00721A02">
        <w:trPr>
          <w:trHeight w:hRule="exact" w:val="381"/>
        </w:trPr>
        <w:tc>
          <w:tcPr>
            <w:tcW w:w="3077" w:type="dxa"/>
          </w:tcPr>
          <w:p w14:paraId="3284384C" w14:textId="77777777" w:rsidR="006F5E2C" w:rsidRDefault="00955FA4">
            <w:pPr>
              <w:pStyle w:val="TableParagraph"/>
              <w:ind w:left="103"/>
              <w:rPr>
                <w:sz w:val="21"/>
                <w:lang w:eastAsia="ja-JP"/>
              </w:rPr>
            </w:pPr>
            <w:r>
              <w:rPr>
                <w:sz w:val="21"/>
                <w:lang w:eastAsia="ja-JP"/>
              </w:rPr>
              <w:t>上記以外の機関または組織等</w:t>
            </w:r>
          </w:p>
        </w:tc>
        <w:tc>
          <w:tcPr>
            <w:tcW w:w="5417" w:type="dxa"/>
            <w:gridSpan w:val="2"/>
          </w:tcPr>
          <w:p w14:paraId="15707C93" w14:textId="77777777" w:rsidR="006F5E2C" w:rsidRDefault="00955FA4">
            <w:pPr>
              <w:pStyle w:val="TableParagraph"/>
              <w:ind w:left="1545"/>
              <w:rPr>
                <w:sz w:val="21"/>
                <w:lang w:eastAsia="ja-JP"/>
              </w:rPr>
            </w:pPr>
            <w:r>
              <w:rPr>
                <w:sz w:val="21"/>
                <w:lang w:eastAsia="ja-JP"/>
              </w:rPr>
              <w:t>幹事会により決定する。</w:t>
            </w:r>
          </w:p>
        </w:tc>
      </w:tr>
    </w:tbl>
    <w:p w14:paraId="060B7778" w14:textId="77777777" w:rsidR="00955FA4" w:rsidRDefault="00955FA4">
      <w:pPr>
        <w:rPr>
          <w:lang w:eastAsia="ja-JP"/>
        </w:rPr>
      </w:pPr>
    </w:p>
    <w:sectPr w:rsidR="00955FA4">
      <w:pgSz w:w="11900" w:h="16850"/>
      <w:pgMar w:top="1600" w:right="158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16483" w14:textId="77777777" w:rsidR="007877D3" w:rsidRDefault="007877D3" w:rsidP="000B050C">
      <w:r>
        <w:separator/>
      </w:r>
    </w:p>
  </w:endnote>
  <w:endnote w:type="continuationSeparator" w:id="0">
    <w:p w14:paraId="5FA485CE" w14:textId="77777777" w:rsidR="007877D3" w:rsidRDefault="007877D3" w:rsidP="000B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16D4F" w14:textId="77777777" w:rsidR="007877D3" w:rsidRDefault="007877D3" w:rsidP="000B050C">
      <w:r>
        <w:separator/>
      </w:r>
    </w:p>
  </w:footnote>
  <w:footnote w:type="continuationSeparator" w:id="0">
    <w:p w14:paraId="0A42BC29" w14:textId="77777777" w:rsidR="007877D3" w:rsidRDefault="007877D3" w:rsidP="000B0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E2C"/>
    <w:rsid w:val="00004D01"/>
    <w:rsid w:val="00034A19"/>
    <w:rsid w:val="00055780"/>
    <w:rsid w:val="00057836"/>
    <w:rsid w:val="00066702"/>
    <w:rsid w:val="000A4C69"/>
    <w:rsid w:val="000B050C"/>
    <w:rsid w:val="00180CFC"/>
    <w:rsid w:val="001857DE"/>
    <w:rsid w:val="001908A9"/>
    <w:rsid w:val="001A1C59"/>
    <w:rsid w:val="001B784A"/>
    <w:rsid w:val="001C1EF5"/>
    <w:rsid w:val="001E3183"/>
    <w:rsid w:val="00253211"/>
    <w:rsid w:val="00280022"/>
    <w:rsid w:val="00280F2E"/>
    <w:rsid w:val="002B3EF5"/>
    <w:rsid w:val="002D71CA"/>
    <w:rsid w:val="002E306F"/>
    <w:rsid w:val="00307661"/>
    <w:rsid w:val="00367599"/>
    <w:rsid w:val="00374FEE"/>
    <w:rsid w:val="003A1668"/>
    <w:rsid w:val="003C38D1"/>
    <w:rsid w:val="003D1C62"/>
    <w:rsid w:val="003E5111"/>
    <w:rsid w:val="004144E9"/>
    <w:rsid w:val="004320D3"/>
    <w:rsid w:val="00433EE9"/>
    <w:rsid w:val="00450367"/>
    <w:rsid w:val="00465B5B"/>
    <w:rsid w:val="004936C1"/>
    <w:rsid w:val="004D6D77"/>
    <w:rsid w:val="004E6BAF"/>
    <w:rsid w:val="004F7F33"/>
    <w:rsid w:val="0055507C"/>
    <w:rsid w:val="0055640D"/>
    <w:rsid w:val="00560BCC"/>
    <w:rsid w:val="00562ECD"/>
    <w:rsid w:val="00583506"/>
    <w:rsid w:val="005A0836"/>
    <w:rsid w:val="005B00C6"/>
    <w:rsid w:val="005E1BBC"/>
    <w:rsid w:val="005F2005"/>
    <w:rsid w:val="005F7427"/>
    <w:rsid w:val="00600B26"/>
    <w:rsid w:val="00616898"/>
    <w:rsid w:val="00630497"/>
    <w:rsid w:val="00641978"/>
    <w:rsid w:val="006445E1"/>
    <w:rsid w:val="00646ACD"/>
    <w:rsid w:val="0067208E"/>
    <w:rsid w:val="006B0E87"/>
    <w:rsid w:val="006D28C1"/>
    <w:rsid w:val="006E6599"/>
    <w:rsid w:val="006F5E2C"/>
    <w:rsid w:val="00715D39"/>
    <w:rsid w:val="00721A02"/>
    <w:rsid w:val="007242B2"/>
    <w:rsid w:val="00736CFA"/>
    <w:rsid w:val="00750DFE"/>
    <w:rsid w:val="007877D3"/>
    <w:rsid w:val="00794E0E"/>
    <w:rsid w:val="007B62F5"/>
    <w:rsid w:val="007D7221"/>
    <w:rsid w:val="007E7C33"/>
    <w:rsid w:val="007F4D18"/>
    <w:rsid w:val="00811B94"/>
    <w:rsid w:val="00837DEB"/>
    <w:rsid w:val="00872AC6"/>
    <w:rsid w:val="0087731A"/>
    <w:rsid w:val="008818D6"/>
    <w:rsid w:val="00885F8A"/>
    <w:rsid w:val="008C2DDE"/>
    <w:rsid w:val="008D60FC"/>
    <w:rsid w:val="008F57EB"/>
    <w:rsid w:val="00914320"/>
    <w:rsid w:val="00944706"/>
    <w:rsid w:val="00955688"/>
    <w:rsid w:val="00955FA4"/>
    <w:rsid w:val="00960057"/>
    <w:rsid w:val="00980967"/>
    <w:rsid w:val="00981AD2"/>
    <w:rsid w:val="00994795"/>
    <w:rsid w:val="009B7E05"/>
    <w:rsid w:val="009C6B29"/>
    <w:rsid w:val="009E3B5C"/>
    <w:rsid w:val="00A019DC"/>
    <w:rsid w:val="00A14609"/>
    <w:rsid w:val="00A25359"/>
    <w:rsid w:val="00A6222E"/>
    <w:rsid w:val="00A96AD9"/>
    <w:rsid w:val="00AB1549"/>
    <w:rsid w:val="00B2135F"/>
    <w:rsid w:val="00B24709"/>
    <w:rsid w:val="00B3274B"/>
    <w:rsid w:val="00B36814"/>
    <w:rsid w:val="00B94362"/>
    <w:rsid w:val="00B96E47"/>
    <w:rsid w:val="00BB0F48"/>
    <w:rsid w:val="00BC35C0"/>
    <w:rsid w:val="00BD389F"/>
    <w:rsid w:val="00BD401A"/>
    <w:rsid w:val="00BE0F63"/>
    <w:rsid w:val="00BF03C7"/>
    <w:rsid w:val="00BF47AB"/>
    <w:rsid w:val="00C016C6"/>
    <w:rsid w:val="00C04FD1"/>
    <w:rsid w:val="00C26600"/>
    <w:rsid w:val="00C74EF9"/>
    <w:rsid w:val="00C806DD"/>
    <w:rsid w:val="00C87C9C"/>
    <w:rsid w:val="00C97703"/>
    <w:rsid w:val="00CA3FD8"/>
    <w:rsid w:val="00CB4679"/>
    <w:rsid w:val="00CE496D"/>
    <w:rsid w:val="00D039C7"/>
    <w:rsid w:val="00D10851"/>
    <w:rsid w:val="00D2585B"/>
    <w:rsid w:val="00D7741A"/>
    <w:rsid w:val="00DA0DDE"/>
    <w:rsid w:val="00DA3DAC"/>
    <w:rsid w:val="00DD63EB"/>
    <w:rsid w:val="00DE2799"/>
    <w:rsid w:val="00DF165F"/>
    <w:rsid w:val="00E039EC"/>
    <w:rsid w:val="00E278FE"/>
    <w:rsid w:val="00E31B29"/>
    <w:rsid w:val="00E47D4D"/>
    <w:rsid w:val="00E52FAC"/>
    <w:rsid w:val="00EA20CF"/>
    <w:rsid w:val="00EB2BA7"/>
    <w:rsid w:val="00ED61EE"/>
    <w:rsid w:val="00F556C7"/>
    <w:rsid w:val="00F62347"/>
    <w:rsid w:val="00F73E25"/>
    <w:rsid w:val="00F82268"/>
    <w:rsid w:val="00F91F5A"/>
    <w:rsid w:val="00FB18FE"/>
    <w:rsid w:val="00FB59B3"/>
    <w:rsid w:val="00FC3280"/>
    <w:rsid w:val="00FC7E5A"/>
    <w:rsid w:val="00FD2745"/>
    <w:rsid w:val="00FD5316"/>
    <w:rsid w:val="00FF3276"/>
    <w:rsid w:val="00FF7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293D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pPr>
      <w:spacing w:before="30"/>
    </w:pPr>
  </w:style>
  <w:style w:type="paragraph" w:styleId="a5">
    <w:name w:val="header"/>
    <w:basedOn w:val="a"/>
    <w:link w:val="a6"/>
    <w:uiPriority w:val="99"/>
    <w:unhideWhenUsed/>
    <w:rsid w:val="000B050C"/>
    <w:pPr>
      <w:tabs>
        <w:tab w:val="center" w:pos="4252"/>
        <w:tab w:val="right" w:pos="8504"/>
      </w:tabs>
      <w:snapToGrid w:val="0"/>
    </w:pPr>
  </w:style>
  <w:style w:type="character" w:customStyle="1" w:styleId="a6">
    <w:name w:val="ヘッダー (文字)"/>
    <w:basedOn w:val="a0"/>
    <w:link w:val="a5"/>
    <w:uiPriority w:val="99"/>
    <w:rsid w:val="000B050C"/>
    <w:rPr>
      <w:rFonts w:ascii="ＭＳ 明朝" w:eastAsia="ＭＳ 明朝" w:hAnsi="ＭＳ 明朝" w:cs="ＭＳ 明朝"/>
    </w:rPr>
  </w:style>
  <w:style w:type="paragraph" w:styleId="a7">
    <w:name w:val="footer"/>
    <w:basedOn w:val="a"/>
    <w:link w:val="a8"/>
    <w:uiPriority w:val="99"/>
    <w:unhideWhenUsed/>
    <w:rsid w:val="000B050C"/>
    <w:pPr>
      <w:tabs>
        <w:tab w:val="center" w:pos="4252"/>
        <w:tab w:val="right" w:pos="8504"/>
      </w:tabs>
      <w:snapToGrid w:val="0"/>
    </w:pPr>
  </w:style>
  <w:style w:type="character" w:customStyle="1" w:styleId="a8">
    <w:name w:val="フッター (文字)"/>
    <w:basedOn w:val="a0"/>
    <w:link w:val="a7"/>
    <w:uiPriority w:val="99"/>
    <w:rsid w:val="000B050C"/>
    <w:rPr>
      <w:rFonts w:ascii="ＭＳ 明朝" w:eastAsia="ＭＳ 明朝" w:hAnsi="ＭＳ 明朝" w:cs="ＭＳ 明朝"/>
    </w:rPr>
  </w:style>
  <w:style w:type="paragraph" w:styleId="a9">
    <w:name w:val="Balloon Text"/>
    <w:basedOn w:val="a"/>
    <w:link w:val="aa"/>
    <w:uiPriority w:val="99"/>
    <w:semiHidden/>
    <w:unhideWhenUsed/>
    <w:rsid w:val="00FD53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5316"/>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B0E87"/>
    <w:rPr>
      <w:sz w:val="18"/>
      <w:szCs w:val="18"/>
    </w:rPr>
  </w:style>
  <w:style w:type="paragraph" w:styleId="ac">
    <w:name w:val="annotation text"/>
    <w:basedOn w:val="a"/>
    <w:link w:val="ad"/>
    <w:uiPriority w:val="99"/>
    <w:semiHidden/>
    <w:unhideWhenUsed/>
    <w:rsid w:val="006B0E87"/>
  </w:style>
  <w:style w:type="character" w:customStyle="1" w:styleId="ad">
    <w:name w:val="コメント文字列 (文字)"/>
    <w:basedOn w:val="a0"/>
    <w:link w:val="ac"/>
    <w:uiPriority w:val="99"/>
    <w:semiHidden/>
    <w:rsid w:val="006B0E87"/>
    <w:rPr>
      <w:rFonts w:ascii="ＭＳ 明朝" w:eastAsia="ＭＳ 明朝" w:hAnsi="ＭＳ 明朝" w:cs="ＭＳ 明朝"/>
    </w:rPr>
  </w:style>
  <w:style w:type="paragraph" w:styleId="ae">
    <w:name w:val="annotation subject"/>
    <w:basedOn w:val="ac"/>
    <w:next w:val="ac"/>
    <w:link w:val="af"/>
    <w:uiPriority w:val="99"/>
    <w:semiHidden/>
    <w:unhideWhenUsed/>
    <w:rsid w:val="006B0E87"/>
    <w:rPr>
      <w:b/>
      <w:bCs/>
    </w:rPr>
  </w:style>
  <w:style w:type="character" w:customStyle="1" w:styleId="af">
    <w:name w:val="コメント内容 (文字)"/>
    <w:basedOn w:val="ad"/>
    <w:link w:val="ae"/>
    <w:uiPriority w:val="99"/>
    <w:semiHidden/>
    <w:rsid w:val="006B0E87"/>
    <w:rPr>
      <w:rFonts w:ascii="ＭＳ 明朝" w:eastAsia="ＭＳ 明朝" w:hAnsi="ＭＳ 明朝" w:cs="ＭＳ 明朝"/>
      <w:b/>
      <w:bCs/>
    </w:rPr>
  </w:style>
  <w:style w:type="paragraph" w:styleId="af0">
    <w:name w:val="Revision"/>
    <w:hidden/>
    <w:uiPriority w:val="99"/>
    <w:semiHidden/>
    <w:rsid w:val="00DA0DDE"/>
    <w:pPr>
      <w:widowControl/>
      <w:autoSpaceDE/>
      <w:autoSpaceDN/>
    </w:pPr>
    <w:rPr>
      <w:rFonts w:ascii="ＭＳ 明朝" w:eastAsia="ＭＳ 明朝" w:hAnsi="ＭＳ 明朝" w:cs="ＭＳ 明朝"/>
    </w:rPr>
  </w:style>
  <w:style w:type="table" w:styleId="af1">
    <w:name w:val="Table Grid"/>
    <w:basedOn w:val="a1"/>
    <w:uiPriority w:val="59"/>
    <w:rsid w:val="00F62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D6EAA-41F9-2D4C-9B8F-52CF56E6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596</Words>
  <Characters>3400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パナソニック株式会社</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中澤 仁</dc:creator>
  <cp:lastModifiedBy>中澤 仁</cp:lastModifiedBy>
  <cp:revision>13</cp:revision>
  <cp:lastPrinted>2018-02-08T07:34:00Z</cp:lastPrinted>
  <dcterms:created xsi:type="dcterms:W3CDTF">2018-03-06T10:46:00Z</dcterms:created>
  <dcterms:modified xsi:type="dcterms:W3CDTF">2020-03-27T07:33:00Z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2017-10-23T00:00:00Z</vt:filetime>
  </property>
  <property fmtid="{D5CDD505-2E9C-101B-9397-08002B2CF9AE}" pid="3" name="Creator">
    <vt:lpwstr>Word 用 Acrobat PDFMaker 15</vt:lpwstr>
  </property>
  <property fmtid="{D5CDD505-2E9C-101B-9397-08002B2CF9AE}" pid="4" name="LastSaved">
    <vt:filetime>2017-11-21T00:00:00Z</vt:filetime>
  </property>
</Properties>
</file>